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D2FAE">
      <w:pPr>
        <w:keepNext w:val="0"/>
        <w:keepLines w:val="0"/>
        <w:widowControl w:val="0"/>
        <w:suppressLineNumbers w:val="0"/>
        <w:autoSpaceDE w:val="0"/>
        <w:autoSpaceDN/>
        <w:spacing w:before="0" w:beforeLines="0" w:beforeAutospacing="0" w:after="0" w:afterLines="0" w:afterAutospacing="0"/>
        <w:ind w:left="0" w:right="0" w:rightChars="0"/>
        <w:jc w:val="both"/>
        <w:textAlignment w:val="baseline"/>
        <w:rPr>
          <w:rFonts w:hint="eastAsia" w:ascii="黑体" w:hAnsi="宋体" w:eastAsia="黑体" w:cs="黑体"/>
          <w:b w:val="0"/>
          <w:color w:val="auto"/>
          <w:kern w:val="2"/>
          <w:sz w:val="32"/>
          <w:szCs w:val="32"/>
          <w:vertAlign w:val="baseline"/>
        </w:rPr>
      </w:pPr>
      <w:r>
        <w:rPr>
          <w:rFonts w:hint="eastAsia" w:ascii="黑体" w:hAnsi="宋体" w:eastAsia="黑体" w:cs="黑体"/>
          <w:b w:val="0"/>
          <w:color w:val="auto"/>
          <w:kern w:val="2"/>
          <w:sz w:val="32"/>
          <w:szCs w:val="32"/>
          <w:vertAlign w:val="baseline"/>
          <w:lang w:val="en-US" w:eastAsia="zh-CN" w:bidi="ar"/>
        </w:rPr>
        <w:t>附件</w:t>
      </w:r>
    </w:p>
    <w:p w14:paraId="69019F1D">
      <w:pPr>
        <w:keepNext w:val="0"/>
        <w:keepLines w:val="0"/>
        <w:widowControl w:val="0"/>
        <w:suppressLineNumbers w:val="0"/>
        <w:autoSpaceDE w:val="0"/>
        <w:autoSpaceDN/>
        <w:spacing w:before="0" w:beforeLines="0" w:beforeAutospacing="0" w:after="0" w:afterLines="0" w:afterAutospacing="0" w:line="720" w:lineRule="exact"/>
        <w:ind w:left="0" w:leftChars="0" w:right="0" w:rightChars="0" w:firstLine="0" w:firstLineChars="0"/>
        <w:jc w:val="center"/>
        <w:textAlignment w:val="baseline"/>
        <w:rPr>
          <w:rFonts w:hint="eastAsia" w:ascii="方正小标宋_GBK" w:hAnsi="方正小标宋_GBK" w:eastAsia="方正小标宋_GBK" w:cs="方正小标宋_GBK"/>
          <w:color w:val="auto"/>
          <w:kern w:val="2"/>
          <w:sz w:val="44"/>
          <w:szCs w:val="44"/>
          <w:vertAlign w:val="baseline"/>
        </w:rPr>
      </w:pPr>
      <w:r>
        <w:rPr>
          <w:rFonts w:hint="eastAsia" w:ascii="方正小标宋_GBK" w:hAnsi="方正小标宋_GBK" w:eastAsia="方正小标宋_GBK" w:cs="方正小标宋_GBK"/>
          <w:color w:val="auto"/>
          <w:w w:val="90"/>
          <w:kern w:val="2"/>
          <w:sz w:val="44"/>
          <w:szCs w:val="44"/>
          <w:vertAlign w:val="baseline"/>
          <w:lang w:val="en-US" w:eastAsia="zh-CN" w:bidi="ar"/>
        </w:rPr>
        <w:t>宝鸡市银行业金融机构科技金融服务效果评估办法</w:t>
      </w:r>
    </w:p>
    <w:p w14:paraId="49BE6FA1">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p>
    <w:p w14:paraId="672EBD1C">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为鼓励引导银行业金融机构积极拓展科技金融业务，提升科技金融服务水平，加大对科技型企业的金融支持力度，中国人民银行宝鸡市分行会同国家金融监督管理总局宝鸡监管分局</w:t>
      </w:r>
      <w:r>
        <w:rPr>
          <w:rFonts w:hint="eastAsia" w:ascii="仿宋_GB2312" w:hAnsi="Times New Roman" w:eastAsia="仿宋_GB2312" w:cs="仿宋_GB2312"/>
          <w:b w:val="0"/>
          <w:strike w:val="0"/>
          <w:dstrike w:val="0"/>
          <w:color w:val="auto"/>
          <w:kern w:val="2"/>
          <w:sz w:val="32"/>
          <w:szCs w:val="32"/>
          <w:highlight w:val="none"/>
          <w:vertAlign w:val="baseline"/>
          <w:lang w:val="en-US" w:eastAsia="zh-CN" w:bidi="ar"/>
        </w:rPr>
        <w:t>、</w:t>
      </w:r>
      <w:r>
        <w:rPr>
          <w:rFonts w:hint="eastAsia" w:ascii="仿宋_GB2312" w:hAnsi="Times New Roman" w:eastAsia="仿宋_GB2312" w:cs="仿宋_GB2312"/>
          <w:b w:val="0"/>
          <w:color w:val="auto"/>
          <w:kern w:val="2"/>
          <w:sz w:val="32"/>
          <w:szCs w:val="32"/>
          <w:vertAlign w:val="baseline"/>
          <w:lang w:val="en-US" w:eastAsia="zh-CN" w:bidi="ar"/>
        </w:rPr>
        <w:t>宝鸡市科学技术局制定本办法。</w:t>
      </w:r>
    </w:p>
    <w:p w14:paraId="650B0A0D">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黑体" w:hAnsi="宋体" w:eastAsia="黑体" w:cs="黑体"/>
          <w:b w:val="0"/>
          <w:color w:val="auto"/>
          <w:kern w:val="2"/>
          <w:sz w:val="32"/>
          <w:szCs w:val="32"/>
          <w:vertAlign w:val="baseline"/>
        </w:rPr>
      </w:pPr>
      <w:r>
        <w:rPr>
          <w:rFonts w:hint="eastAsia" w:ascii="黑体" w:hAnsi="宋体" w:eastAsia="黑体" w:cs="黑体"/>
          <w:b w:val="0"/>
          <w:color w:val="auto"/>
          <w:kern w:val="2"/>
          <w:sz w:val="32"/>
          <w:szCs w:val="32"/>
          <w:vertAlign w:val="baseline"/>
          <w:lang w:val="en-US" w:eastAsia="zh-CN" w:bidi="ar"/>
        </w:rPr>
        <w:t>一、总则</w:t>
      </w:r>
    </w:p>
    <w:p w14:paraId="578B1141">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一）宝鸡市银行业金融机构科技金融服务效果评估是指中国人民银行宝鸡市分行、国家金融监督管理总局宝鸡监管分局、宝鸡市科学技术局对市级银行业金融机构科技金融服务成效进行综合评估，并依据评估结果对金融机构实施激励约束的制度安排。</w:t>
      </w:r>
    </w:p>
    <w:p w14:paraId="4E28C083">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（二）科技金融服务效果评估坚持客观、公正、公平原则，尊重金融机构依法合规、自主经营。</w:t>
      </w:r>
    </w:p>
    <w:p w14:paraId="004A87B3">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（三）科技金融服务效果评估对象为宝鸡市市级银行业金融机构。包括</w:t>
      </w:r>
      <w:bookmarkStart w:id="0" w:name="主送单位"/>
      <w:r>
        <w:rPr>
          <w:rFonts w:hint="default" w:ascii="Times New Roman" w:hAnsi="Times New Roman" w:eastAsia="仿宋_GB2312" w:cs="Times New Roman"/>
          <w:color w:val="auto"/>
          <w:sz w:val="32"/>
          <w:highlight w:val="none"/>
          <w:lang w:eastAsia="zh-CN"/>
        </w:rPr>
        <w:t>农业发展银行宝鸡市分行、市级各国有商业银行、各股份制商业银行宝鸡分行、长安银行宝鸡分行、西安银行宝鸡分行、省联社宝鸡审计中心</w:t>
      </w:r>
      <w:bookmarkEnd w:id="0"/>
      <w:r>
        <w:rPr>
          <w:rFonts w:hint="eastAsia" w:ascii="仿宋_GB2312" w:hAnsi="Times New Roman" w:eastAsia="仿宋_GB2312" w:cs="仿宋_GB2312"/>
          <w:b w:val="0"/>
          <w:color w:val="auto"/>
          <w:kern w:val="2"/>
          <w:sz w:val="32"/>
          <w:szCs w:val="32"/>
          <w:vertAlign w:val="baseline"/>
          <w:lang w:val="en-US" w:eastAsia="zh-CN" w:bidi="ar"/>
        </w:rPr>
        <w:t>。</w:t>
      </w:r>
    </w:p>
    <w:p w14:paraId="26984E23">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（四）科技金融服务效果评估工作每半年开展一次，评估期</w:t>
      </w:r>
      <w:r>
        <w:rPr>
          <w:rFonts w:hint="eastAsia" w:ascii="仿宋_GB2312" w:hAnsi="Times New Roman" w:eastAsia="仿宋_GB2312" w:cs="Times New Roman"/>
          <w:b w:val="0"/>
          <w:color w:val="auto"/>
          <w:kern w:val="2"/>
          <w:sz w:val="32"/>
          <w:szCs w:val="32"/>
          <w:vertAlign w:val="baseline"/>
          <w:lang w:val="en-US" w:eastAsia="zh-CN" w:bidi="ar"/>
        </w:rPr>
        <w:t>限为</w:t>
      </w:r>
      <w:r>
        <w:rPr>
          <w:rFonts w:hint="eastAsia" w:ascii="仿宋_GB2312" w:hAnsi="Times New Roman" w:eastAsia="仿宋_GB2312" w:cs="Times New Roman"/>
          <w:b w:val="0"/>
          <w:color w:val="auto"/>
          <w:kern w:val="2"/>
          <w:sz w:val="32"/>
          <w:szCs w:val="32"/>
          <w:highlight w:val="none"/>
          <w:vertAlign w:val="baseline"/>
          <w:lang w:val="en-US" w:eastAsia="zh-CN" w:bidi="ar"/>
        </w:rPr>
        <w:t>1月1日至6月30日</w:t>
      </w:r>
      <w:r>
        <w:rPr>
          <w:rFonts w:hint="eastAsia" w:ascii="仿宋_GB2312" w:hAnsi="Times New Roman" w:eastAsia="仿宋_GB2312" w:cs="Times New Roman"/>
          <w:b w:val="0"/>
          <w:color w:val="auto"/>
          <w:kern w:val="2"/>
          <w:sz w:val="32"/>
          <w:szCs w:val="32"/>
          <w:vertAlign w:val="baseline"/>
          <w:lang w:val="en-US" w:eastAsia="zh-CN" w:bidi="ar"/>
        </w:rPr>
        <w:t>，</w:t>
      </w:r>
      <w:r>
        <w:rPr>
          <w:rFonts w:hint="eastAsia" w:ascii="仿宋_GB2312" w:hAnsi="Times New Roman" w:eastAsia="仿宋_GB2312" w:cs="Times New Roman"/>
          <w:b w:val="0"/>
          <w:color w:val="auto"/>
          <w:kern w:val="2"/>
          <w:sz w:val="32"/>
          <w:szCs w:val="32"/>
          <w:highlight w:val="none"/>
          <w:vertAlign w:val="baseline"/>
          <w:lang w:val="en-US" w:eastAsia="zh-CN" w:bidi="ar"/>
        </w:rPr>
        <w:t>及1月1日至12月31日</w:t>
      </w:r>
      <w:r>
        <w:rPr>
          <w:rFonts w:hint="eastAsia" w:ascii="仿宋_GB2312" w:hAnsi="Times New Roman" w:eastAsia="仿宋_GB2312" w:cs="Times New Roman"/>
          <w:b w:val="0"/>
          <w:color w:val="auto"/>
          <w:kern w:val="2"/>
          <w:sz w:val="32"/>
          <w:szCs w:val="32"/>
          <w:vertAlign w:val="baseline"/>
          <w:lang w:val="en-US" w:eastAsia="zh-CN" w:bidi="ar"/>
        </w:rPr>
        <w:t>。</w:t>
      </w:r>
    </w:p>
    <w:p w14:paraId="54C24328">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黑体" w:hAnsi="宋体" w:eastAsia="黑体" w:cs="黑体"/>
          <w:b w:val="0"/>
          <w:color w:val="auto"/>
          <w:kern w:val="2"/>
          <w:sz w:val="32"/>
          <w:szCs w:val="32"/>
          <w:vertAlign w:val="baseline"/>
        </w:rPr>
      </w:pPr>
      <w:r>
        <w:rPr>
          <w:rFonts w:hint="eastAsia" w:ascii="黑体" w:hAnsi="宋体" w:eastAsia="黑体" w:cs="黑体"/>
          <w:b w:val="0"/>
          <w:color w:val="auto"/>
          <w:kern w:val="2"/>
          <w:sz w:val="32"/>
          <w:szCs w:val="32"/>
          <w:vertAlign w:val="baseline"/>
          <w:lang w:val="en-US" w:eastAsia="zh-CN" w:bidi="ar"/>
        </w:rPr>
        <w:t>二、评估指标和方法</w:t>
      </w:r>
    </w:p>
    <w:p w14:paraId="56F0A500">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（五）银行业金融机构科技金融服务效果评估指标分为定量和定性两类，其中，定量指标</w:t>
      </w:r>
      <w:r>
        <w:rPr>
          <w:rFonts w:hint="eastAsia" w:ascii="仿宋_GB2312" w:hAnsi="Times New Roman" w:eastAsia="仿宋_GB2312" w:cs="Times New Roman"/>
          <w:b w:val="0"/>
          <w:color w:val="auto"/>
          <w:kern w:val="2"/>
          <w:sz w:val="32"/>
          <w:szCs w:val="32"/>
          <w:vertAlign w:val="baseline"/>
          <w:lang w:val="en-US" w:eastAsia="zh-CN" w:bidi="ar"/>
        </w:rPr>
        <w:t>70分，定性指标30分，不含加分项分值。</w:t>
      </w:r>
    </w:p>
    <w:p w14:paraId="52DDA358">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（六）银行业金融机构科技金融服务效果评估定量指标包括增量指标、扩面指标、提质指标，另设加分项（具体见附</w:t>
      </w:r>
      <w:r>
        <w:rPr>
          <w:rFonts w:hint="eastAsia" w:ascii="仿宋_GB2312" w:hAnsi="Times New Roman" w:eastAsia="仿宋_GB2312" w:cs="Times New Roman"/>
          <w:b w:val="0"/>
          <w:color w:val="auto"/>
          <w:kern w:val="2"/>
          <w:sz w:val="32"/>
          <w:szCs w:val="32"/>
          <w:vertAlign w:val="baseline"/>
          <w:lang w:val="en-US" w:eastAsia="zh-CN" w:bidi="ar"/>
        </w:rPr>
        <w:t>1）。定性指标包括货币政策工具使用情况、支持重点领域情况、授信定价能力、资源配置能力、产品创新能力、多元供给能力、政策配合情况及其他，另设加分项及扣分项（具体见附3）。</w:t>
      </w:r>
    </w:p>
    <w:p w14:paraId="65270DEE">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hAnsi="Times New Roman" w:eastAsia="仿宋_GB2312" w:cs="Times New Roman"/>
          <w:b w:val="0"/>
          <w:color w:val="auto"/>
          <w:kern w:val="2"/>
          <w:sz w:val="32"/>
          <w:szCs w:val="32"/>
          <w:vertAlign w:val="baseline"/>
          <w:lang w:val="en-US" w:eastAsia="zh-CN" w:bidi="ar"/>
        </w:rPr>
      </w:pPr>
      <w:r>
        <w:rPr>
          <w:rFonts w:hint="eastAsia" w:ascii="仿宋_GB2312" w:hAnsi="Times New Roman" w:eastAsia="仿宋_GB2312" w:cs="仿宋_GB2312"/>
          <w:b w:val="0"/>
          <w:color w:val="auto"/>
          <w:kern w:val="2"/>
          <w:sz w:val="32"/>
          <w:szCs w:val="32"/>
          <w:vertAlign w:val="baseline"/>
          <w:lang w:val="en-US" w:eastAsia="zh-CN" w:bidi="ar"/>
        </w:rPr>
        <w:t>（七）结合各金融机构业务发展情况，定量评估分</w:t>
      </w:r>
      <w:r>
        <w:rPr>
          <w:rFonts w:hint="eastAsia" w:ascii="仿宋_GB2312" w:hAnsi="Times New Roman" w:eastAsia="仿宋_GB2312" w:cs="Times New Roman"/>
          <w:b w:val="0"/>
          <w:color w:val="auto"/>
          <w:kern w:val="2"/>
          <w:sz w:val="32"/>
          <w:szCs w:val="32"/>
          <w:vertAlign w:val="baseline"/>
          <w:lang w:val="en-US" w:eastAsia="zh-CN" w:bidi="ar"/>
        </w:rPr>
        <w:t>2组开展，第一组为政策性银行及国有大型银行市级分行，包括：农业发展银行宝鸡市分行、工商银行、农业银行、中国银行、建设银行、交通银行宝鸡分行、邮政储蓄银行宝鸡市分行，共7家；第二组为全国性股份制银行市级分行、城市商业银行市级分行、省联社宝鸡审计中心，包括：中信银行、光大银行、招商银行、浦发银行、民生银行、兴业银行、恒丰银行、华夏银行、西安银行、长安银行宝鸡分行，省联社宝鸡审计中心共11家。定性评估各金融机构统一进行。</w:t>
      </w:r>
    </w:p>
    <w:p w14:paraId="39BC6B97">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（八）科技金融服务效果评估中科技型企业包括：科技型中小企业、创新型中小企业、</w:t>
      </w:r>
      <w:r>
        <w:rPr>
          <w:rFonts w:hint="eastAsia" w:ascii="仿宋_GB2312" w:hAnsi="Times New Roman" w:eastAsia="仿宋_GB2312" w:cs="Times New Roman"/>
          <w:b w:val="0"/>
          <w:color w:val="auto"/>
          <w:kern w:val="2"/>
          <w:sz w:val="32"/>
          <w:szCs w:val="32"/>
          <w:vertAlign w:val="baseline"/>
          <w:lang w:val="en-US" w:eastAsia="zh-CN" w:bidi="ar"/>
        </w:rPr>
        <w:t>“专精特新”中小企业、专精特新“小巨人”企业、高新技术企业。高新技术企业、科技型中小企业按照主管部门公示有效期内企业为准。</w:t>
      </w:r>
    </w:p>
    <w:p w14:paraId="5580B2B2">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（九）中国人民银行宝鸡市分行会同国家金融监督管理总局宝鸡监管分局、宝鸡市科学技术局根据政策要求和评估实施情况，适时对评估方法、指标体系等进行调整完善。</w:t>
      </w:r>
    </w:p>
    <w:p w14:paraId="6765EA61">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黑体" w:hAnsi="宋体" w:eastAsia="黑体" w:cs="黑体"/>
          <w:b w:val="0"/>
          <w:color w:val="auto"/>
          <w:kern w:val="2"/>
          <w:sz w:val="32"/>
          <w:szCs w:val="32"/>
          <w:vertAlign w:val="baseline"/>
        </w:rPr>
      </w:pPr>
      <w:r>
        <w:rPr>
          <w:rFonts w:hint="eastAsia" w:ascii="黑体" w:hAnsi="宋体" w:eastAsia="黑体" w:cs="黑体"/>
          <w:b w:val="0"/>
          <w:color w:val="auto"/>
          <w:kern w:val="2"/>
          <w:sz w:val="32"/>
          <w:szCs w:val="32"/>
          <w:vertAlign w:val="baseline"/>
          <w:lang w:val="en-US" w:eastAsia="zh-CN" w:bidi="ar"/>
        </w:rPr>
        <w:t>三、评估程序</w:t>
      </w:r>
    </w:p>
    <w:p w14:paraId="3392E90E">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（十）金融机构应客观、真实、准确报送各项指标数据及资料，并于每年7月31日，次年1月31日前（</w:t>
      </w:r>
      <w:r>
        <w:rPr>
          <w:rFonts w:hint="eastAsia" w:ascii="仿宋_GB2312" w:hAnsi="Times New Roman" w:eastAsia="仿宋_GB2312" w:cs="Times New Roman"/>
          <w:b w:val="0"/>
          <w:color w:val="auto"/>
          <w:kern w:val="2"/>
          <w:sz w:val="32"/>
          <w:szCs w:val="32"/>
          <w:vertAlign w:val="baseline"/>
          <w:lang w:val="en-US" w:eastAsia="zh-CN" w:bidi="ar"/>
        </w:rPr>
        <w:t>遇节假日自动顺延，下同）填报《宝鸡市银行业金融机构科技金融服务效果评估定量指标数据表》（附2）、《宝鸡市银行业金融机构科技金融服务效果评估定性评价表》（附3），并附佐证材料，撰写自评价报告，加盖公章后报送人民银行宝鸡市分行、国家金融监督管理总局宝鸡监管分局。</w:t>
      </w:r>
    </w:p>
    <w:p w14:paraId="0F03CCBB">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（十一）中国人民银行宝鸡市分行会同国家金融监督管理总局宝鸡监管分局</w:t>
      </w:r>
      <w:r>
        <w:rPr>
          <w:rFonts w:hint="eastAsia" w:ascii="仿宋_GB2312" w:hAnsi="Times New Roman" w:eastAsia="仿宋_GB2312" w:cs="仿宋_GB2312"/>
          <w:b w:val="0"/>
          <w:strike w:val="0"/>
          <w:dstrike w:val="0"/>
          <w:color w:val="auto"/>
          <w:kern w:val="2"/>
          <w:sz w:val="32"/>
          <w:szCs w:val="32"/>
          <w:highlight w:val="none"/>
          <w:vertAlign w:val="baseline"/>
          <w:lang w:val="en-US" w:eastAsia="zh-CN" w:bidi="ar"/>
        </w:rPr>
        <w:t>、</w:t>
      </w:r>
      <w:r>
        <w:rPr>
          <w:rFonts w:hint="eastAsia" w:ascii="仿宋_GB2312" w:hAnsi="Times New Roman" w:eastAsia="仿宋_GB2312" w:cs="仿宋_GB2312"/>
          <w:b w:val="0"/>
          <w:color w:val="auto"/>
          <w:kern w:val="2"/>
          <w:sz w:val="32"/>
          <w:szCs w:val="32"/>
          <w:vertAlign w:val="baseline"/>
          <w:lang w:val="en-US" w:eastAsia="zh-CN" w:bidi="ar"/>
        </w:rPr>
        <w:t>宝鸡市科学技术局进行会商沟通，综合考虑金融机构日常经营情况，共同确定评估结果。</w:t>
      </w:r>
    </w:p>
    <w:p w14:paraId="654C5894">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黑体" w:hAnsi="宋体" w:eastAsia="黑体" w:cs="黑体"/>
          <w:b w:val="0"/>
          <w:color w:val="auto"/>
          <w:kern w:val="2"/>
          <w:sz w:val="32"/>
          <w:szCs w:val="32"/>
          <w:vertAlign w:val="baseline"/>
        </w:rPr>
      </w:pPr>
      <w:r>
        <w:rPr>
          <w:rFonts w:hint="eastAsia" w:ascii="黑体" w:hAnsi="宋体" w:eastAsia="黑体" w:cs="黑体"/>
          <w:b w:val="0"/>
          <w:color w:val="auto"/>
          <w:kern w:val="2"/>
          <w:sz w:val="32"/>
          <w:szCs w:val="32"/>
          <w:vertAlign w:val="baseline"/>
          <w:lang w:val="en-US" w:eastAsia="zh-CN" w:bidi="ar"/>
        </w:rPr>
        <w:t>四、评估结果和运用</w:t>
      </w:r>
    </w:p>
    <w:p w14:paraId="6733EA69">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（十二）评估等次分优秀、良好、一般、勉励四档，中国人民银行宝鸡市分行会同国家金融监督管理总局宝鸡监管分局</w:t>
      </w:r>
      <w:r>
        <w:rPr>
          <w:rFonts w:hint="eastAsia" w:ascii="仿宋_GB2312" w:hAnsi="Times New Roman" w:eastAsia="仿宋_GB2312" w:cs="仿宋_GB2312"/>
          <w:b w:val="0"/>
          <w:strike w:val="0"/>
          <w:dstrike w:val="0"/>
          <w:color w:val="auto"/>
          <w:kern w:val="2"/>
          <w:sz w:val="32"/>
          <w:szCs w:val="32"/>
          <w:highlight w:val="none"/>
          <w:vertAlign w:val="baseline"/>
          <w:lang w:val="en-US" w:eastAsia="zh-CN" w:bidi="ar"/>
        </w:rPr>
        <w:t>、</w:t>
      </w:r>
      <w:r>
        <w:rPr>
          <w:rFonts w:hint="eastAsia" w:ascii="仿宋_GB2312" w:hAnsi="Times New Roman" w:eastAsia="仿宋_GB2312" w:cs="仿宋_GB2312"/>
          <w:b w:val="0"/>
          <w:color w:val="auto"/>
          <w:kern w:val="2"/>
          <w:sz w:val="32"/>
          <w:szCs w:val="32"/>
          <w:vertAlign w:val="baseline"/>
          <w:lang w:val="en-US" w:eastAsia="zh-CN" w:bidi="ar"/>
        </w:rPr>
        <w:t>宝鸡市科学技术局根据评估情况，确定各档次机构占比。</w:t>
      </w:r>
    </w:p>
    <w:p w14:paraId="2691A1C3">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（十三）评估年度内金融机构存在评估数据和资料弄虚作假或中国人民银行宝鸡市分行会同国家金融监督管理总局宝鸡监管分局</w:t>
      </w:r>
      <w:r>
        <w:rPr>
          <w:rFonts w:hint="eastAsia" w:ascii="仿宋_GB2312" w:hAnsi="Times New Roman" w:eastAsia="仿宋_GB2312" w:cs="仿宋_GB2312"/>
          <w:b w:val="0"/>
          <w:strike w:val="0"/>
          <w:dstrike w:val="0"/>
          <w:color w:val="auto"/>
          <w:kern w:val="2"/>
          <w:sz w:val="32"/>
          <w:szCs w:val="32"/>
          <w:highlight w:val="none"/>
          <w:vertAlign w:val="baseline"/>
          <w:lang w:val="en-US" w:eastAsia="zh-CN" w:bidi="ar"/>
        </w:rPr>
        <w:t>、</w:t>
      </w:r>
      <w:r>
        <w:rPr>
          <w:rFonts w:hint="eastAsia" w:ascii="仿宋_GB2312" w:hAnsi="Times New Roman" w:eastAsia="仿宋_GB2312" w:cs="仿宋_GB2312"/>
          <w:b w:val="0"/>
          <w:color w:val="auto"/>
          <w:kern w:val="2"/>
          <w:sz w:val="32"/>
          <w:szCs w:val="32"/>
          <w:vertAlign w:val="baseline"/>
          <w:lang w:val="en-US" w:eastAsia="zh-CN" w:bidi="ar"/>
        </w:rPr>
        <w:t>宝鸡市科学技术局认定的其他情形的，直接列为勉励档。</w:t>
      </w:r>
    </w:p>
    <w:p w14:paraId="14A828D0">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（十四）中国人民银行宝鸡市分行会同国家金融监督管理总局宝鸡监管分局</w:t>
      </w:r>
      <w:r>
        <w:rPr>
          <w:rFonts w:hint="eastAsia" w:ascii="仿宋_GB2312" w:hAnsi="Times New Roman" w:eastAsia="仿宋_GB2312" w:cs="仿宋_GB2312"/>
          <w:b w:val="0"/>
          <w:strike w:val="0"/>
          <w:dstrike w:val="0"/>
          <w:color w:val="auto"/>
          <w:kern w:val="2"/>
          <w:sz w:val="32"/>
          <w:szCs w:val="32"/>
          <w:highlight w:val="none"/>
          <w:vertAlign w:val="baseline"/>
          <w:lang w:val="en-US" w:eastAsia="zh-CN" w:bidi="ar"/>
        </w:rPr>
        <w:t>、</w:t>
      </w:r>
      <w:r>
        <w:rPr>
          <w:rFonts w:hint="eastAsia" w:ascii="仿宋_GB2312" w:hAnsi="Times New Roman" w:eastAsia="仿宋_GB2312" w:cs="仿宋_GB2312"/>
          <w:b w:val="0"/>
          <w:color w:val="auto"/>
          <w:kern w:val="2"/>
          <w:sz w:val="32"/>
          <w:szCs w:val="32"/>
          <w:highlight w:val="none"/>
          <w:vertAlign w:val="baseline"/>
          <w:lang w:val="en-US" w:eastAsia="zh-CN" w:bidi="ar"/>
        </w:rPr>
        <w:t>宝</w:t>
      </w:r>
      <w:r>
        <w:rPr>
          <w:rFonts w:hint="eastAsia" w:ascii="仿宋_GB2312" w:hAnsi="Times New Roman" w:eastAsia="仿宋_GB2312" w:cs="仿宋_GB2312"/>
          <w:b w:val="0"/>
          <w:color w:val="auto"/>
          <w:kern w:val="2"/>
          <w:sz w:val="32"/>
          <w:szCs w:val="32"/>
          <w:vertAlign w:val="baseline"/>
          <w:lang w:val="en-US" w:eastAsia="zh-CN" w:bidi="ar"/>
        </w:rPr>
        <w:t>鸡市科学技术局通过适当方式发布评估结果，加强评估结果运用。</w:t>
      </w:r>
    </w:p>
    <w:p w14:paraId="6550679D">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（十五）评估结果将作为中国人民银行宝鸡市分行、国家金融监督管理总局宝鸡监管分局</w:t>
      </w:r>
      <w:r>
        <w:rPr>
          <w:rFonts w:hint="eastAsia" w:ascii="仿宋_GB2312" w:hAnsi="Times New Roman" w:eastAsia="仿宋_GB2312" w:cs="仿宋_GB2312"/>
          <w:b w:val="0"/>
          <w:strike w:val="0"/>
          <w:dstrike w:val="0"/>
          <w:color w:val="auto"/>
          <w:kern w:val="2"/>
          <w:sz w:val="32"/>
          <w:szCs w:val="32"/>
          <w:highlight w:val="none"/>
          <w:vertAlign w:val="baseline"/>
          <w:lang w:val="en-US" w:eastAsia="zh-CN" w:bidi="ar"/>
        </w:rPr>
        <w:t>、</w:t>
      </w:r>
      <w:r>
        <w:rPr>
          <w:rFonts w:hint="eastAsia" w:ascii="仿宋_GB2312" w:hAnsi="Times New Roman" w:eastAsia="仿宋_GB2312" w:cs="仿宋_GB2312"/>
          <w:b w:val="0"/>
          <w:color w:val="auto"/>
          <w:kern w:val="2"/>
          <w:sz w:val="32"/>
          <w:szCs w:val="32"/>
          <w:vertAlign w:val="baseline"/>
          <w:lang w:val="en-US" w:eastAsia="zh-CN" w:bidi="ar"/>
        </w:rPr>
        <w:t>宝鸡市科学技术局按照各自职责开展以下工作时的重要参考依据：</w:t>
      </w:r>
    </w:p>
    <w:p w14:paraId="5D876248">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Times New Roman"/>
          <w:b w:val="0"/>
          <w:color w:val="auto"/>
          <w:kern w:val="2"/>
          <w:sz w:val="32"/>
          <w:szCs w:val="32"/>
          <w:vertAlign w:val="baseline"/>
          <w:lang w:val="en-US" w:eastAsia="zh-CN" w:bidi="ar"/>
        </w:rPr>
        <w:t>1.货币政策工具运用；</w:t>
      </w:r>
    </w:p>
    <w:p w14:paraId="09E4E6CA">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Times New Roman"/>
          <w:b w:val="0"/>
          <w:color w:val="auto"/>
          <w:kern w:val="2"/>
          <w:sz w:val="32"/>
          <w:szCs w:val="32"/>
          <w:vertAlign w:val="baseline"/>
          <w:lang w:val="en-US" w:eastAsia="zh-CN" w:bidi="ar"/>
        </w:rPr>
        <w:t>2.对相关金融机构的综合评价；</w:t>
      </w:r>
    </w:p>
    <w:p w14:paraId="25BCA636">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Times New Roman"/>
          <w:b w:val="0"/>
          <w:color w:val="auto"/>
          <w:kern w:val="2"/>
          <w:sz w:val="32"/>
          <w:szCs w:val="32"/>
          <w:vertAlign w:val="baseline"/>
          <w:lang w:val="en-US" w:eastAsia="zh-CN" w:bidi="ar"/>
        </w:rPr>
        <w:t>3.对金融机构开展现场评估和现场核查工作；</w:t>
      </w:r>
    </w:p>
    <w:p w14:paraId="523BF622">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Times New Roman"/>
          <w:b w:val="0"/>
          <w:color w:val="auto"/>
          <w:kern w:val="2"/>
          <w:sz w:val="32"/>
          <w:szCs w:val="32"/>
          <w:vertAlign w:val="baseline"/>
          <w:lang w:val="en-US" w:eastAsia="zh-CN" w:bidi="ar"/>
        </w:rPr>
        <w:t>4.金融债发行；</w:t>
      </w:r>
    </w:p>
    <w:p w14:paraId="3A5ABD97">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Times New Roman"/>
          <w:b w:val="0"/>
          <w:color w:val="auto"/>
          <w:kern w:val="2"/>
          <w:sz w:val="32"/>
          <w:szCs w:val="32"/>
          <w:vertAlign w:val="baseline"/>
          <w:lang w:val="en-US" w:eastAsia="zh-CN" w:bidi="ar"/>
        </w:rPr>
        <w:t>5.评估单位认为适用的其他业务。</w:t>
      </w:r>
    </w:p>
    <w:p w14:paraId="78BFD43A">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黑体" w:hAnsi="宋体" w:eastAsia="黑体" w:cs="黑体"/>
          <w:b w:val="0"/>
          <w:color w:val="auto"/>
          <w:kern w:val="2"/>
          <w:sz w:val="32"/>
          <w:szCs w:val="32"/>
          <w:vertAlign w:val="baseline"/>
        </w:rPr>
      </w:pPr>
      <w:r>
        <w:rPr>
          <w:rFonts w:hint="eastAsia" w:ascii="黑体" w:hAnsi="宋体" w:eastAsia="黑体" w:cs="黑体"/>
          <w:b w:val="0"/>
          <w:color w:val="auto"/>
          <w:kern w:val="2"/>
          <w:sz w:val="32"/>
          <w:szCs w:val="32"/>
          <w:vertAlign w:val="baseline"/>
          <w:lang w:val="en-US" w:eastAsia="zh-CN" w:bidi="ar"/>
        </w:rPr>
        <w:t>五、附则</w:t>
      </w:r>
    </w:p>
    <w:p w14:paraId="73194D28">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（十六）本办法由中国人民银行宝鸡市分行会同国家金融监督管理总局宝鸡监管分局</w:t>
      </w:r>
      <w:r>
        <w:rPr>
          <w:rFonts w:hint="eastAsia" w:ascii="仿宋_GB2312" w:hAnsi="Times New Roman" w:eastAsia="仿宋_GB2312" w:cs="仿宋_GB2312"/>
          <w:b w:val="0"/>
          <w:color w:val="auto"/>
          <w:kern w:val="2"/>
          <w:sz w:val="32"/>
          <w:szCs w:val="32"/>
          <w:highlight w:val="none"/>
          <w:vertAlign w:val="baseline"/>
          <w:lang w:val="en-US" w:eastAsia="zh-CN" w:bidi="ar"/>
        </w:rPr>
        <w:t>、宝鸡市</w:t>
      </w:r>
      <w:r>
        <w:rPr>
          <w:rFonts w:hint="eastAsia" w:ascii="仿宋_GB2312" w:hAnsi="Times New Roman" w:eastAsia="仿宋_GB2312" w:cs="仿宋_GB2312"/>
          <w:b w:val="0"/>
          <w:color w:val="auto"/>
          <w:kern w:val="2"/>
          <w:sz w:val="32"/>
          <w:szCs w:val="32"/>
          <w:vertAlign w:val="baseline"/>
          <w:lang w:val="en-US" w:eastAsia="zh-CN" w:bidi="ar"/>
        </w:rPr>
        <w:t>科学技术局负责解释。</w:t>
      </w:r>
    </w:p>
    <w:p w14:paraId="0BCE8173">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（十七）本办法自发布之日起实施</w:t>
      </w:r>
      <w:r>
        <w:rPr>
          <w:rFonts w:hint="eastAsia" w:ascii="仿宋_GB2312" w:hAnsi="Times New Roman" w:eastAsia="仿宋_GB2312" w:cs="Times New Roman"/>
          <w:b w:val="0"/>
          <w:color w:val="auto"/>
          <w:kern w:val="2"/>
          <w:sz w:val="32"/>
          <w:szCs w:val="32"/>
          <w:vertAlign w:val="baseline"/>
          <w:lang w:val="en-US" w:eastAsia="zh-CN" w:bidi="ar"/>
        </w:rPr>
        <w:t>。</w:t>
      </w:r>
    </w:p>
    <w:p w14:paraId="50AC4D83">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hAnsi="Times New Roman" w:eastAsia="仿宋_GB2312" w:cs="Times New Roman"/>
          <w:b w:val="0"/>
          <w:color w:val="auto"/>
          <w:kern w:val="2"/>
          <w:sz w:val="32"/>
          <w:szCs w:val="32"/>
          <w:vertAlign w:val="baseline"/>
          <w:lang w:val="en-US" w:eastAsia="zh-CN" w:bidi="ar"/>
        </w:rPr>
      </w:pPr>
      <w:r>
        <w:rPr>
          <w:rFonts w:hint="eastAsia" w:ascii="仿宋_GB2312" w:hAnsi="Times New Roman" w:eastAsia="仿宋_GB2312" w:cs="Times New Roman"/>
          <w:b w:val="0"/>
          <w:color w:val="auto"/>
          <w:kern w:val="2"/>
          <w:sz w:val="32"/>
          <w:szCs w:val="32"/>
          <w:vertAlign w:val="baseline"/>
          <w:lang w:val="en-US" w:eastAsia="zh-CN" w:bidi="ar"/>
        </w:rPr>
        <w:t xml:space="preserve"> </w:t>
      </w:r>
    </w:p>
    <w:p w14:paraId="47E83AFB">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附：</w:t>
      </w:r>
      <w:r>
        <w:rPr>
          <w:rFonts w:hint="eastAsia" w:ascii="仿宋_GB2312" w:hAnsi="Times New Roman" w:eastAsia="仿宋_GB2312" w:cs="Times New Roman"/>
          <w:b w:val="0"/>
          <w:color w:val="auto"/>
          <w:kern w:val="2"/>
          <w:sz w:val="32"/>
          <w:szCs w:val="32"/>
          <w:vertAlign w:val="baseline"/>
          <w:lang w:val="en-US" w:eastAsia="zh-CN" w:bidi="ar"/>
        </w:rPr>
        <w:t>1.宝鸡市银行业金融机构科技金融服务效果评估定量</w:t>
      </w:r>
    </w:p>
    <w:p w14:paraId="06787A66">
      <w:pPr>
        <w:keepNext w:val="0"/>
        <w:keepLines w:val="0"/>
        <w:widowControl w:val="0"/>
        <w:suppressLineNumbers w:val="0"/>
        <w:autoSpaceDE w:val="0"/>
        <w:autoSpaceDN/>
        <w:spacing w:before="0" w:beforeLines="0" w:beforeAutospacing="0" w:after="0" w:afterLines="0" w:afterAutospacing="0"/>
        <w:ind w:left="0" w:right="0" w:rightChars="0" w:firstLine="1600" w:firstLineChars="5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指标评价表</w:t>
      </w:r>
    </w:p>
    <w:p w14:paraId="61FC185A">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Times New Roman"/>
          <w:b w:val="0"/>
          <w:color w:val="auto"/>
          <w:kern w:val="2"/>
          <w:sz w:val="32"/>
          <w:szCs w:val="32"/>
          <w:vertAlign w:val="baseline"/>
          <w:lang w:val="en-US" w:eastAsia="zh-CN" w:bidi="ar"/>
        </w:rPr>
        <w:t xml:space="preserve">    2.宝鸡市银行业金融机构科技金融服务效果评估定量</w:t>
      </w:r>
    </w:p>
    <w:p w14:paraId="673926CE">
      <w:pPr>
        <w:keepNext w:val="0"/>
        <w:keepLines w:val="0"/>
        <w:widowControl w:val="0"/>
        <w:suppressLineNumbers w:val="0"/>
        <w:autoSpaceDE w:val="0"/>
        <w:autoSpaceDN/>
        <w:spacing w:before="0" w:beforeLines="0" w:beforeAutospacing="0" w:after="0" w:afterLines="0" w:afterAutospacing="0"/>
        <w:ind w:left="0" w:right="0" w:rightChars="0" w:firstLine="1600" w:firstLineChars="5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指标数据表</w:t>
      </w:r>
      <w:r>
        <w:rPr>
          <w:rFonts w:hint="eastAsia" w:ascii="仿宋_GB2312" w:hAnsi="Times New Roman" w:eastAsia="仿宋_GB2312" w:cs="Times New Roman"/>
          <w:b w:val="0"/>
          <w:color w:val="auto"/>
          <w:kern w:val="2"/>
          <w:sz w:val="32"/>
          <w:szCs w:val="32"/>
          <w:vertAlign w:val="baseline"/>
          <w:lang w:val="en-US" w:eastAsia="zh-CN" w:bidi="ar"/>
        </w:rPr>
        <w:t xml:space="preserve"> </w:t>
      </w:r>
    </w:p>
    <w:p w14:paraId="47E627B4">
      <w:pPr>
        <w:keepNext w:val="0"/>
        <w:keepLines w:val="0"/>
        <w:widowControl w:val="0"/>
        <w:suppressLineNumbers w:val="0"/>
        <w:autoSpaceDE w:val="0"/>
        <w:autoSpaceDN/>
        <w:spacing w:before="0" w:beforeLines="0" w:beforeAutospacing="0" w:after="0" w:afterLines="0" w:afterAutospacing="0"/>
        <w:ind w:left="0" w:right="0" w:rightChars="0" w:firstLine="1600" w:firstLineChars="500"/>
        <w:jc w:val="both"/>
        <w:textAlignment w:val="baseline"/>
        <w:rPr>
          <w:rFonts w:hint="eastAsia" w:ascii="仿宋_GB2312" w:hAnsi="Times New Roman" w:eastAsia="仿宋_GB2312" w:cs="Times New Roman"/>
          <w:b w:val="0"/>
          <w:color w:val="auto"/>
          <w:kern w:val="2"/>
          <w:sz w:val="32"/>
          <w:szCs w:val="32"/>
          <w:vertAlign w:val="baseline"/>
          <w:lang w:val="en-US" w:eastAsia="zh-CN" w:bidi="ar"/>
        </w:rPr>
      </w:pPr>
      <w:r>
        <w:rPr>
          <w:rFonts w:hint="eastAsia" w:ascii="仿宋_GB2312" w:hAnsi="Times New Roman" w:eastAsia="仿宋_GB2312" w:cs="Times New Roman"/>
          <w:b w:val="0"/>
          <w:color w:val="auto"/>
          <w:kern w:val="2"/>
          <w:sz w:val="32"/>
          <w:szCs w:val="32"/>
          <w:vertAlign w:val="baseline"/>
          <w:lang w:val="en-US" w:eastAsia="zh-CN" w:bidi="ar"/>
        </w:rPr>
        <w:t xml:space="preserve">  </w:t>
      </w:r>
    </w:p>
    <w:p w14:paraId="70E6DAE3">
      <w:pPr>
        <w:keepNext w:val="0"/>
        <w:keepLines w:val="0"/>
        <w:widowControl w:val="0"/>
        <w:suppressLineNumbers w:val="0"/>
        <w:autoSpaceDE w:val="0"/>
        <w:autoSpaceDN/>
        <w:spacing w:before="0" w:beforeLines="0" w:beforeAutospacing="0" w:after="0" w:afterLines="0" w:afterAutospacing="0"/>
        <w:ind w:left="0" w:right="0" w:rightChars="0" w:firstLine="1600" w:firstLineChars="500"/>
        <w:jc w:val="both"/>
        <w:textAlignment w:val="baseline"/>
        <w:rPr>
          <w:rFonts w:hint="eastAsia" w:ascii="仿宋_GB2312" w:hAnsi="Times New Roman" w:eastAsia="仿宋_GB2312" w:cs="Times New Roman"/>
          <w:b w:val="0"/>
          <w:color w:val="auto"/>
          <w:kern w:val="2"/>
          <w:sz w:val="32"/>
          <w:szCs w:val="32"/>
          <w:vertAlign w:val="baseline"/>
          <w:lang w:val="en-US" w:eastAsia="zh-CN" w:bidi="ar"/>
        </w:rPr>
      </w:pPr>
    </w:p>
    <w:p w14:paraId="688901C7">
      <w:pPr>
        <w:keepNext w:val="0"/>
        <w:keepLines w:val="0"/>
        <w:widowControl w:val="0"/>
        <w:suppressLineNumbers w:val="0"/>
        <w:autoSpaceDE w:val="0"/>
        <w:autoSpaceDN/>
        <w:spacing w:before="0" w:beforeLines="0" w:beforeAutospacing="0" w:after="0" w:afterLines="0" w:afterAutospacing="0"/>
        <w:ind w:left="0" w:leftChars="0" w:right="0" w:rightChars="0" w:firstLine="0" w:firstLineChars="0"/>
        <w:jc w:val="both"/>
        <w:textAlignment w:val="baseline"/>
        <w:rPr>
          <w:rFonts w:hint="eastAsia" w:ascii="黑体" w:hAnsi="宋体" w:eastAsia="黑体" w:cs="黑体"/>
          <w:b w:val="0"/>
          <w:color w:val="auto"/>
          <w:kern w:val="2"/>
          <w:sz w:val="32"/>
          <w:szCs w:val="32"/>
          <w:vertAlign w:val="baseline"/>
          <w:lang w:val="en-US" w:eastAsia="zh-CN" w:bidi="ar"/>
        </w:rPr>
      </w:pPr>
    </w:p>
    <w:p w14:paraId="3DF2F000">
      <w:pPr>
        <w:keepNext w:val="0"/>
        <w:keepLines w:val="0"/>
        <w:widowControl w:val="0"/>
        <w:suppressLineNumbers w:val="0"/>
        <w:autoSpaceDE w:val="0"/>
        <w:autoSpaceDN/>
        <w:spacing w:before="0" w:beforeLines="0" w:beforeAutospacing="0" w:after="0" w:afterLines="0" w:afterAutospacing="0"/>
        <w:ind w:left="0" w:leftChars="0" w:right="0" w:rightChars="0" w:firstLine="0" w:firstLineChars="0"/>
        <w:jc w:val="both"/>
        <w:textAlignment w:val="baseline"/>
        <w:rPr>
          <w:rFonts w:hint="eastAsia" w:ascii="黑体" w:hAnsi="宋体" w:eastAsia="黑体" w:cs="黑体"/>
          <w:b w:val="0"/>
          <w:color w:val="auto"/>
          <w:kern w:val="2"/>
          <w:sz w:val="32"/>
          <w:szCs w:val="32"/>
          <w:vertAlign w:val="baseline"/>
          <w:lang w:val="en-US" w:eastAsia="zh-CN" w:bidi="ar"/>
        </w:rPr>
      </w:pPr>
    </w:p>
    <w:p w14:paraId="1A44B6CC">
      <w:pPr>
        <w:keepNext w:val="0"/>
        <w:keepLines w:val="0"/>
        <w:widowControl w:val="0"/>
        <w:suppressLineNumbers w:val="0"/>
        <w:autoSpaceDE w:val="0"/>
        <w:autoSpaceDN/>
        <w:spacing w:before="0" w:beforeLines="0" w:beforeAutospacing="0" w:after="0" w:afterLines="0" w:afterAutospacing="0"/>
        <w:ind w:left="0" w:leftChars="0" w:right="0" w:rightChars="0" w:firstLine="0" w:firstLineChars="0"/>
        <w:jc w:val="both"/>
        <w:textAlignment w:val="baseline"/>
        <w:rPr>
          <w:rFonts w:hint="eastAsia" w:ascii="黑体" w:hAnsi="宋体" w:eastAsia="黑体" w:cs="黑体"/>
          <w:b w:val="0"/>
          <w:color w:val="auto"/>
          <w:kern w:val="2"/>
          <w:sz w:val="32"/>
          <w:szCs w:val="32"/>
          <w:vertAlign w:val="baseline"/>
        </w:rPr>
      </w:pPr>
      <w:r>
        <w:rPr>
          <w:rFonts w:hint="eastAsia" w:ascii="黑体" w:hAnsi="宋体" w:eastAsia="黑体" w:cs="黑体"/>
          <w:b w:val="0"/>
          <w:color w:val="auto"/>
          <w:kern w:val="2"/>
          <w:sz w:val="32"/>
          <w:szCs w:val="32"/>
          <w:vertAlign w:val="baseline"/>
          <w:lang w:val="en-US" w:eastAsia="zh-CN" w:bidi="ar"/>
        </w:rPr>
        <w:t>附1</w:t>
      </w:r>
    </w:p>
    <w:p w14:paraId="01892CA4">
      <w:pPr>
        <w:keepNext w:val="0"/>
        <w:keepLines w:val="0"/>
        <w:widowControl w:val="0"/>
        <w:suppressLineNumbers w:val="0"/>
        <w:spacing w:before="0" w:beforeLines="0" w:beforeAutospacing="0" w:after="0" w:afterLines="0" w:afterAutospacing="0" w:line="720" w:lineRule="exact"/>
        <w:ind w:left="0" w:right="0"/>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color w:val="auto"/>
          <w:kern w:val="2"/>
          <w:sz w:val="44"/>
          <w:szCs w:val="44"/>
          <w:lang w:val="en-US" w:eastAsia="zh-CN" w:bidi="ar"/>
        </w:rPr>
        <w:t>宝鸡市银行业金融机构科技金融服务效果评估</w:t>
      </w:r>
    </w:p>
    <w:p w14:paraId="4D0DF75A">
      <w:pPr>
        <w:keepNext w:val="0"/>
        <w:keepLines w:val="0"/>
        <w:widowControl w:val="0"/>
        <w:suppressLineNumbers w:val="0"/>
        <w:spacing w:before="0" w:beforeLines="0" w:beforeAutospacing="0" w:after="0" w:afterLines="0" w:afterAutospacing="0" w:line="720" w:lineRule="exact"/>
        <w:ind w:left="0" w:right="0"/>
        <w:jc w:val="center"/>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color w:val="auto"/>
          <w:kern w:val="2"/>
          <w:sz w:val="44"/>
          <w:szCs w:val="44"/>
          <w:lang w:val="en-US" w:eastAsia="zh-CN" w:bidi="ar"/>
        </w:rPr>
        <w:t>定量指标评价表</w:t>
      </w:r>
    </w:p>
    <w:tbl>
      <w:tblPr>
        <w:tblStyle w:val="3"/>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44"/>
        <w:gridCol w:w="2839"/>
        <w:gridCol w:w="2839"/>
        <w:gridCol w:w="1665"/>
      </w:tblGrid>
      <w:tr w14:paraId="7D17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1744" w:type="dxa"/>
            <w:tcBorders>
              <w:top w:val="single" w:color="000000" w:sz="4" w:space="0"/>
              <w:left w:val="single" w:color="000000" w:sz="4" w:space="0"/>
              <w:bottom w:val="single" w:color="000000" w:sz="4" w:space="0"/>
              <w:right w:val="single" w:color="000000" w:sz="4" w:space="0"/>
            </w:tcBorders>
            <w:noWrap w:val="0"/>
            <w:vAlign w:val="center"/>
          </w:tcPr>
          <w:p w14:paraId="16AB7FB8">
            <w:pPr>
              <w:keepNext w:val="0"/>
              <w:keepLines w:val="0"/>
              <w:widowControl/>
              <w:suppressLineNumbers w:val="0"/>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color w:val="auto"/>
                <w:kern w:val="2"/>
                <w:sz w:val="32"/>
                <w:szCs w:val="32"/>
              </w:rPr>
            </w:pPr>
            <w:r>
              <w:rPr>
                <w:rFonts w:hint="eastAsia" w:ascii="仿宋_GB2312" w:hAnsi="宋体" w:eastAsia="仿宋_GB2312" w:cs="仿宋_GB2312"/>
                <w:b/>
                <w:color w:val="auto"/>
                <w:kern w:val="0"/>
                <w:sz w:val="32"/>
                <w:szCs w:val="32"/>
                <w:lang w:val="en-US" w:eastAsia="zh-CN" w:bidi="ar"/>
              </w:rPr>
              <w:t>一级指标</w:t>
            </w:r>
          </w:p>
        </w:tc>
        <w:tc>
          <w:tcPr>
            <w:tcW w:w="2839" w:type="dxa"/>
            <w:tcBorders>
              <w:top w:val="single" w:color="000000" w:sz="4" w:space="0"/>
              <w:left w:val="nil"/>
              <w:bottom w:val="single" w:color="000000" w:sz="4" w:space="0"/>
              <w:right w:val="single" w:color="000000" w:sz="4" w:space="0"/>
            </w:tcBorders>
            <w:noWrap w:val="0"/>
            <w:vAlign w:val="center"/>
          </w:tcPr>
          <w:p w14:paraId="55110B71">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color w:val="auto"/>
                <w:kern w:val="2"/>
                <w:sz w:val="32"/>
                <w:szCs w:val="32"/>
              </w:rPr>
            </w:pPr>
            <w:r>
              <w:rPr>
                <w:rFonts w:hint="eastAsia" w:ascii="仿宋_GB2312" w:hAnsi="宋体" w:eastAsia="仿宋_GB2312" w:cs="仿宋_GB2312"/>
                <w:b/>
                <w:color w:val="auto"/>
                <w:kern w:val="0"/>
                <w:sz w:val="32"/>
                <w:szCs w:val="32"/>
                <w:lang w:val="en-US" w:eastAsia="zh-CN" w:bidi="ar"/>
              </w:rPr>
              <w:t>二级指标</w:t>
            </w:r>
          </w:p>
        </w:tc>
        <w:tc>
          <w:tcPr>
            <w:tcW w:w="2839" w:type="dxa"/>
            <w:tcBorders>
              <w:top w:val="single" w:color="000000" w:sz="4" w:space="0"/>
              <w:left w:val="nil"/>
              <w:bottom w:val="single" w:color="000000" w:sz="4" w:space="0"/>
              <w:right w:val="single" w:color="000000" w:sz="4" w:space="0"/>
            </w:tcBorders>
            <w:noWrap w:val="0"/>
            <w:vAlign w:val="center"/>
          </w:tcPr>
          <w:p w14:paraId="59482FB4">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color w:val="auto"/>
                <w:kern w:val="2"/>
                <w:sz w:val="32"/>
                <w:szCs w:val="32"/>
              </w:rPr>
            </w:pPr>
            <w:r>
              <w:rPr>
                <w:rFonts w:hint="eastAsia" w:ascii="仿宋_GB2312" w:hAnsi="宋体" w:eastAsia="仿宋_GB2312" w:cs="仿宋_GB2312"/>
                <w:b/>
                <w:color w:val="auto"/>
                <w:kern w:val="0"/>
                <w:sz w:val="32"/>
                <w:szCs w:val="32"/>
                <w:lang w:val="en-US" w:eastAsia="zh-CN" w:bidi="ar"/>
              </w:rPr>
              <w:t>三级指标</w:t>
            </w:r>
          </w:p>
        </w:tc>
        <w:tc>
          <w:tcPr>
            <w:tcW w:w="1665" w:type="dxa"/>
            <w:tcBorders>
              <w:top w:val="single" w:color="000000" w:sz="4" w:space="0"/>
              <w:left w:val="nil"/>
              <w:bottom w:val="single" w:color="000000" w:sz="4" w:space="0"/>
              <w:right w:val="single" w:color="000000" w:sz="4" w:space="0"/>
            </w:tcBorders>
            <w:noWrap w:val="0"/>
            <w:vAlign w:val="center"/>
          </w:tcPr>
          <w:p w14:paraId="008CEEBE">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color w:val="auto"/>
                <w:kern w:val="2"/>
                <w:sz w:val="32"/>
                <w:szCs w:val="32"/>
              </w:rPr>
            </w:pPr>
            <w:r>
              <w:rPr>
                <w:rFonts w:hint="eastAsia" w:ascii="仿宋_GB2312" w:hAnsi="宋体" w:eastAsia="仿宋_GB2312" w:cs="仿宋_GB2312"/>
                <w:b/>
                <w:color w:val="auto"/>
                <w:kern w:val="2"/>
                <w:sz w:val="32"/>
                <w:szCs w:val="32"/>
                <w:lang w:val="en-US" w:eastAsia="zh-CN" w:bidi="ar"/>
              </w:rPr>
              <w:t>分值</w:t>
            </w:r>
          </w:p>
        </w:tc>
      </w:tr>
      <w:tr w14:paraId="7223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1744" w:type="dxa"/>
            <w:vMerge w:val="restart"/>
            <w:tcBorders>
              <w:top w:val="nil"/>
              <w:left w:val="single" w:color="000000" w:sz="4" w:space="0"/>
              <w:bottom w:val="single" w:color="000000" w:sz="4" w:space="0"/>
              <w:right w:val="single" w:color="000000" w:sz="4" w:space="0"/>
            </w:tcBorders>
            <w:noWrap w:val="0"/>
            <w:vAlign w:val="center"/>
          </w:tcPr>
          <w:p w14:paraId="1D163447">
            <w:pPr>
              <w:keepNext w:val="0"/>
              <w:keepLines w:val="0"/>
              <w:widowControl/>
              <w:suppressLineNumbers w:val="0"/>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增量指标</w:t>
            </w:r>
          </w:p>
        </w:tc>
        <w:tc>
          <w:tcPr>
            <w:tcW w:w="2839" w:type="dxa"/>
            <w:vMerge w:val="restart"/>
            <w:tcBorders>
              <w:top w:val="nil"/>
              <w:left w:val="nil"/>
              <w:bottom w:val="single" w:color="000000" w:sz="4" w:space="0"/>
              <w:right w:val="single" w:color="000000" w:sz="4" w:space="0"/>
            </w:tcBorders>
            <w:noWrap w:val="0"/>
            <w:vAlign w:val="center"/>
          </w:tcPr>
          <w:p w14:paraId="34E2BDF1">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科技型企业贷款</w:t>
            </w:r>
          </w:p>
        </w:tc>
        <w:tc>
          <w:tcPr>
            <w:tcW w:w="2839" w:type="dxa"/>
            <w:tcBorders>
              <w:top w:val="nil"/>
              <w:left w:val="nil"/>
              <w:bottom w:val="single" w:color="000000" w:sz="4" w:space="0"/>
              <w:right w:val="single" w:color="000000" w:sz="4" w:space="0"/>
            </w:tcBorders>
            <w:noWrap w:val="0"/>
            <w:vAlign w:val="center"/>
          </w:tcPr>
          <w:p w14:paraId="63F5DAC5">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余额与同组比较</w:t>
            </w:r>
          </w:p>
        </w:tc>
        <w:tc>
          <w:tcPr>
            <w:tcW w:w="1665" w:type="dxa"/>
            <w:tcBorders>
              <w:top w:val="nil"/>
              <w:left w:val="nil"/>
              <w:bottom w:val="single" w:color="000000" w:sz="4" w:space="0"/>
              <w:right w:val="single" w:color="000000" w:sz="4" w:space="0"/>
            </w:tcBorders>
            <w:noWrap w:val="0"/>
            <w:vAlign w:val="center"/>
          </w:tcPr>
          <w:p w14:paraId="19D3E0E6">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10</w:t>
            </w:r>
          </w:p>
        </w:tc>
      </w:tr>
      <w:tr w14:paraId="3D1A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1744" w:type="dxa"/>
            <w:vMerge w:val="continue"/>
            <w:tcBorders>
              <w:top w:val="nil"/>
              <w:left w:val="single" w:color="000000" w:sz="4" w:space="0"/>
              <w:bottom w:val="single" w:color="000000" w:sz="4" w:space="0"/>
              <w:right w:val="single" w:color="000000" w:sz="4" w:space="0"/>
            </w:tcBorders>
            <w:noWrap w:val="0"/>
            <w:vAlign w:val="center"/>
          </w:tcPr>
          <w:p w14:paraId="6A044C4B">
            <w:pPr>
              <w:spacing w:line="280" w:lineRule="exact"/>
              <w:rPr>
                <w:rFonts w:hint="default" w:ascii="Times New Roman" w:hAnsi="Times New Roman" w:cs="Times New Roman"/>
                <w:color w:val="auto"/>
                <w:sz w:val="20"/>
                <w:szCs w:val="20"/>
              </w:rPr>
            </w:pPr>
          </w:p>
        </w:tc>
        <w:tc>
          <w:tcPr>
            <w:tcW w:w="2839" w:type="dxa"/>
            <w:vMerge w:val="continue"/>
            <w:tcBorders>
              <w:top w:val="nil"/>
              <w:left w:val="nil"/>
              <w:bottom w:val="single" w:color="000000" w:sz="4" w:space="0"/>
              <w:right w:val="single" w:color="000000" w:sz="4" w:space="0"/>
            </w:tcBorders>
            <w:noWrap w:val="0"/>
            <w:vAlign w:val="center"/>
          </w:tcPr>
          <w:p w14:paraId="1C989434">
            <w:pPr>
              <w:spacing w:line="280" w:lineRule="exact"/>
              <w:rPr>
                <w:rFonts w:hint="default" w:ascii="Times New Roman" w:hAnsi="Times New Roman" w:cs="Times New Roman"/>
                <w:color w:val="auto"/>
                <w:sz w:val="20"/>
                <w:szCs w:val="20"/>
              </w:rPr>
            </w:pPr>
          </w:p>
        </w:tc>
        <w:tc>
          <w:tcPr>
            <w:tcW w:w="2839" w:type="dxa"/>
            <w:tcBorders>
              <w:top w:val="nil"/>
              <w:left w:val="nil"/>
              <w:bottom w:val="single" w:color="000000" w:sz="4" w:space="0"/>
              <w:right w:val="single" w:color="000000" w:sz="4" w:space="0"/>
            </w:tcBorders>
            <w:noWrap w:val="0"/>
            <w:vAlign w:val="center"/>
          </w:tcPr>
          <w:p w14:paraId="3451ECF1">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较年初增量</w:t>
            </w:r>
          </w:p>
        </w:tc>
        <w:tc>
          <w:tcPr>
            <w:tcW w:w="1665" w:type="dxa"/>
            <w:tcBorders>
              <w:top w:val="nil"/>
              <w:left w:val="nil"/>
              <w:bottom w:val="single" w:color="000000" w:sz="4" w:space="0"/>
              <w:right w:val="single" w:color="000000" w:sz="4" w:space="0"/>
            </w:tcBorders>
            <w:noWrap w:val="0"/>
            <w:vAlign w:val="center"/>
          </w:tcPr>
          <w:p w14:paraId="745134D6">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10</w:t>
            </w:r>
          </w:p>
        </w:tc>
      </w:tr>
      <w:tr w14:paraId="78722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 w:hRule="atLeast"/>
        </w:trPr>
        <w:tc>
          <w:tcPr>
            <w:tcW w:w="1744" w:type="dxa"/>
            <w:vMerge w:val="continue"/>
            <w:tcBorders>
              <w:top w:val="nil"/>
              <w:left w:val="single" w:color="000000" w:sz="4" w:space="0"/>
              <w:bottom w:val="single" w:color="000000" w:sz="4" w:space="0"/>
              <w:right w:val="single" w:color="000000" w:sz="4" w:space="0"/>
            </w:tcBorders>
            <w:noWrap w:val="0"/>
            <w:vAlign w:val="center"/>
          </w:tcPr>
          <w:p w14:paraId="3A7B8A5A">
            <w:pPr>
              <w:spacing w:line="280" w:lineRule="exact"/>
              <w:rPr>
                <w:rFonts w:hint="default" w:ascii="Times New Roman" w:hAnsi="Times New Roman" w:cs="Times New Roman"/>
                <w:color w:val="auto"/>
                <w:sz w:val="20"/>
                <w:szCs w:val="20"/>
              </w:rPr>
            </w:pPr>
          </w:p>
        </w:tc>
        <w:tc>
          <w:tcPr>
            <w:tcW w:w="2839" w:type="dxa"/>
            <w:tcBorders>
              <w:top w:val="nil"/>
              <w:left w:val="nil"/>
              <w:bottom w:val="single" w:color="000000" w:sz="4" w:space="0"/>
              <w:right w:val="single" w:color="000000" w:sz="4" w:space="0"/>
            </w:tcBorders>
            <w:noWrap w:val="0"/>
            <w:vAlign w:val="center"/>
          </w:tcPr>
          <w:p w14:paraId="6715E18C">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高新技术企业贷款</w:t>
            </w:r>
          </w:p>
        </w:tc>
        <w:tc>
          <w:tcPr>
            <w:tcW w:w="2839" w:type="dxa"/>
            <w:tcBorders>
              <w:top w:val="nil"/>
              <w:left w:val="nil"/>
              <w:bottom w:val="single" w:color="000000" w:sz="4" w:space="0"/>
              <w:right w:val="single" w:color="000000" w:sz="4" w:space="0"/>
            </w:tcBorders>
            <w:noWrap w:val="0"/>
            <w:vAlign w:val="center"/>
          </w:tcPr>
          <w:p w14:paraId="63772605">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余额同比增速</w:t>
            </w:r>
          </w:p>
        </w:tc>
        <w:tc>
          <w:tcPr>
            <w:tcW w:w="1665" w:type="dxa"/>
            <w:tcBorders>
              <w:top w:val="nil"/>
              <w:left w:val="nil"/>
              <w:bottom w:val="single" w:color="000000" w:sz="4" w:space="0"/>
              <w:right w:val="single" w:color="000000" w:sz="4" w:space="0"/>
            </w:tcBorders>
            <w:noWrap w:val="0"/>
            <w:vAlign w:val="center"/>
          </w:tcPr>
          <w:p w14:paraId="203D7A04">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10</w:t>
            </w:r>
          </w:p>
        </w:tc>
      </w:tr>
      <w:tr w14:paraId="0452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744" w:type="dxa"/>
            <w:vMerge w:val="continue"/>
            <w:tcBorders>
              <w:top w:val="nil"/>
              <w:left w:val="single" w:color="000000" w:sz="4" w:space="0"/>
              <w:bottom w:val="single" w:color="000000" w:sz="4" w:space="0"/>
              <w:right w:val="single" w:color="000000" w:sz="4" w:space="0"/>
            </w:tcBorders>
            <w:noWrap w:val="0"/>
            <w:vAlign w:val="center"/>
          </w:tcPr>
          <w:p w14:paraId="2C02E946">
            <w:pPr>
              <w:spacing w:line="280" w:lineRule="exact"/>
              <w:rPr>
                <w:rFonts w:hint="default" w:ascii="Times New Roman" w:hAnsi="Times New Roman" w:cs="Times New Roman"/>
                <w:color w:val="auto"/>
                <w:sz w:val="20"/>
                <w:szCs w:val="20"/>
              </w:rPr>
            </w:pPr>
          </w:p>
        </w:tc>
        <w:tc>
          <w:tcPr>
            <w:tcW w:w="2839" w:type="dxa"/>
            <w:tcBorders>
              <w:top w:val="nil"/>
              <w:left w:val="nil"/>
              <w:bottom w:val="single" w:color="000000" w:sz="4" w:space="0"/>
              <w:right w:val="single" w:color="000000" w:sz="4" w:space="0"/>
            </w:tcBorders>
            <w:noWrap w:val="0"/>
            <w:vAlign w:val="center"/>
          </w:tcPr>
          <w:p w14:paraId="00523F3E">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科技型中小企业贷款</w:t>
            </w:r>
          </w:p>
        </w:tc>
        <w:tc>
          <w:tcPr>
            <w:tcW w:w="2839" w:type="dxa"/>
            <w:tcBorders>
              <w:top w:val="nil"/>
              <w:left w:val="nil"/>
              <w:bottom w:val="single" w:color="000000" w:sz="4" w:space="0"/>
              <w:right w:val="single" w:color="000000" w:sz="4" w:space="0"/>
            </w:tcBorders>
            <w:noWrap w:val="0"/>
            <w:vAlign w:val="center"/>
          </w:tcPr>
          <w:p w14:paraId="2A6EE85E">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余额同比增速</w:t>
            </w:r>
          </w:p>
        </w:tc>
        <w:tc>
          <w:tcPr>
            <w:tcW w:w="1665" w:type="dxa"/>
            <w:tcBorders>
              <w:top w:val="nil"/>
              <w:left w:val="nil"/>
              <w:bottom w:val="single" w:color="000000" w:sz="4" w:space="0"/>
              <w:right w:val="single" w:color="000000" w:sz="4" w:space="0"/>
            </w:tcBorders>
            <w:noWrap w:val="0"/>
            <w:vAlign w:val="center"/>
          </w:tcPr>
          <w:p w14:paraId="347737F8">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10</w:t>
            </w:r>
          </w:p>
        </w:tc>
      </w:tr>
      <w:tr w14:paraId="19BC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1744" w:type="dxa"/>
            <w:vMerge w:val="restart"/>
            <w:tcBorders>
              <w:top w:val="nil"/>
              <w:left w:val="single" w:color="000000" w:sz="4" w:space="0"/>
              <w:bottom w:val="single" w:color="000000" w:sz="4" w:space="0"/>
              <w:right w:val="single" w:color="000000" w:sz="4" w:space="0"/>
            </w:tcBorders>
            <w:noWrap w:val="0"/>
            <w:vAlign w:val="center"/>
          </w:tcPr>
          <w:p w14:paraId="096E34DC">
            <w:pPr>
              <w:keepNext w:val="0"/>
              <w:keepLines w:val="0"/>
              <w:widowControl/>
              <w:suppressLineNumbers w:val="0"/>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扩面指标</w:t>
            </w:r>
          </w:p>
        </w:tc>
        <w:tc>
          <w:tcPr>
            <w:tcW w:w="2839" w:type="dxa"/>
            <w:vMerge w:val="restart"/>
            <w:tcBorders>
              <w:top w:val="nil"/>
              <w:left w:val="nil"/>
              <w:bottom w:val="single" w:color="000000" w:sz="4" w:space="0"/>
              <w:right w:val="single" w:color="000000" w:sz="4" w:space="0"/>
            </w:tcBorders>
            <w:noWrap w:val="0"/>
            <w:vAlign w:val="center"/>
          </w:tcPr>
          <w:p w14:paraId="12714837">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科技型企业贷款余额对应支持企业户数</w:t>
            </w:r>
          </w:p>
        </w:tc>
        <w:tc>
          <w:tcPr>
            <w:tcW w:w="2839" w:type="dxa"/>
            <w:tcBorders>
              <w:top w:val="nil"/>
              <w:left w:val="nil"/>
              <w:bottom w:val="single" w:color="000000" w:sz="4" w:space="0"/>
              <w:right w:val="single" w:color="000000" w:sz="4" w:space="0"/>
            </w:tcBorders>
            <w:noWrap w:val="0"/>
            <w:vAlign w:val="center"/>
          </w:tcPr>
          <w:p w14:paraId="07672997">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与同组比较</w:t>
            </w:r>
          </w:p>
        </w:tc>
        <w:tc>
          <w:tcPr>
            <w:tcW w:w="1665" w:type="dxa"/>
            <w:tcBorders>
              <w:top w:val="nil"/>
              <w:left w:val="nil"/>
              <w:bottom w:val="single" w:color="000000" w:sz="4" w:space="0"/>
              <w:right w:val="single" w:color="000000" w:sz="4" w:space="0"/>
            </w:tcBorders>
            <w:noWrap w:val="0"/>
            <w:vAlign w:val="center"/>
          </w:tcPr>
          <w:p w14:paraId="7F025F87">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5</w:t>
            </w:r>
          </w:p>
        </w:tc>
      </w:tr>
      <w:tr w14:paraId="10D2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744" w:type="dxa"/>
            <w:vMerge w:val="continue"/>
            <w:tcBorders>
              <w:top w:val="nil"/>
              <w:left w:val="single" w:color="000000" w:sz="4" w:space="0"/>
              <w:bottom w:val="single" w:color="000000" w:sz="4" w:space="0"/>
              <w:right w:val="single" w:color="000000" w:sz="4" w:space="0"/>
            </w:tcBorders>
            <w:noWrap w:val="0"/>
            <w:vAlign w:val="center"/>
          </w:tcPr>
          <w:p w14:paraId="6EED1AD4">
            <w:pPr>
              <w:spacing w:line="280" w:lineRule="exact"/>
              <w:rPr>
                <w:rFonts w:hint="default" w:ascii="Times New Roman" w:hAnsi="Times New Roman" w:cs="Times New Roman"/>
                <w:color w:val="auto"/>
                <w:sz w:val="20"/>
                <w:szCs w:val="20"/>
              </w:rPr>
            </w:pPr>
          </w:p>
        </w:tc>
        <w:tc>
          <w:tcPr>
            <w:tcW w:w="2839" w:type="dxa"/>
            <w:vMerge w:val="continue"/>
            <w:tcBorders>
              <w:top w:val="nil"/>
              <w:left w:val="nil"/>
              <w:bottom w:val="single" w:color="000000" w:sz="4" w:space="0"/>
              <w:right w:val="single" w:color="000000" w:sz="4" w:space="0"/>
            </w:tcBorders>
            <w:noWrap w:val="0"/>
            <w:vAlign w:val="center"/>
          </w:tcPr>
          <w:p w14:paraId="35EEED2E">
            <w:pPr>
              <w:spacing w:line="280" w:lineRule="exact"/>
              <w:rPr>
                <w:rFonts w:hint="default" w:ascii="Times New Roman" w:hAnsi="Times New Roman" w:cs="Times New Roman"/>
                <w:color w:val="auto"/>
                <w:sz w:val="20"/>
                <w:szCs w:val="20"/>
              </w:rPr>
            </w:pPr>
          </w:p>
        </w:tc>
        <w:tc>
          <w:tcPr>
            <w:tcW w:w="2839" w:type="dxa"/>
            <w:tcBorders>
              <w:top w:val="nil"/>
              <w:left w:val="nil"/>
              <w:bottom w:val="single" w:color="000000" w:sz="4" w:space="0"/>
              <w:right w:val="single" w:color="000000" w:sz="4" w:space="0"/>
            </w:tcBorders>
            <w:noWrap w:val="0"/>
            <w:vAlign w:val="center"/>
          </w:tcPr>
          <w:p w14:paraId="4393574D">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同比增速</w:t>
            </w:r>
          </w:p>
        </w:tc>
        <w:tc>
          <w:tcPr>
            <w:tcW w:w="1665" w:type="dxa"/>
            <w:tcBorders>
              <w:top w:val="nil"/>
              <w:left w:val="nil"/>
              <w:bottom w:val="single" w:color="000000" w:sz="4" w:space="0"/>
              <w:right w:val="single" w:color="000000" w:sz="4" w:space="0"/>
            </w:tcBorders>
            <w:noWrap w:val="0"/>
            <w:vAlign w:val="center"/>
          </w:tcPr>
          <w:p w14:paraId="289104FB">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5</w:t>
            </w:r>
          </w:p>
        </w:tc>
      </w:tr>
      <w:tr w14:paraId="2DDB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0" w:hRule="atLeast"/>
        </w:trPr>
        <w:tc>
          <w:tcPr>
            <w:tcW w:w="1744" w:type="dxa"/>
            <w:vMerge w:val="restart"/>
            <w:tcBorders>
              <w:top w:val="nil"/>
              <w:left w:val="single" w:color="000000" w:sz="4" w:space="0"/>
              <w:bottom w:val="single" w:color="000000" w:sz="4" w:space="0"/>
              <w:right w:val="single" w:color="000000" w:sz="4" w:space="0"/>
            </w:tcBorders>
            <w:noWrap w:val="0"/>
            <w:vAlign w:val="center"/>
          </w:tcPr>
          <w:p w14:paraId="70B845EA">
            <w:pPr>
              <w:keepNext w:val="0"/>
              <w:keepLines w:val="0"/>
              <w:widowControl/>
              <w:suppressLineNumbers w:val="0"/>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提质指标</w:t>
            </w:r>
          </w:p>
        </w:tc>
        <w:tc>
          <w:tcPr>
            <w:tcW w:w="2839" w:type="dxa"/>
            <w:tcBorders>
              <w:top w:val="nil"/>
              <w:left w:val="nil"/>
              <w:bottom w:val="single" w:color="000000" w:sz="4" w:space="0"/>
              <w:right w:val="single" w:color="000000" w:sz="4" w:space="0"/>
            </w:tcBorders>
            <w:noWrap w:val="0"/>
            <w:vAlign w:val="center"/>
          </w:tcPr>
          <w:p w14:paraId="74C9989C">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科技企业信用贷款</w:t>
            </w:r>
          </w:p>
        </w:tc>
        <w:tc>
          <w:tcPr>
            <w:tcW w:w="2839" w:type="dxa"/>
            <w:tcBorders>
              <w:top w:val="nil"/>
              <w:left w:val="nil"/>
              <w:bottom w:val="single" w:color="000000" w:sz="4" w:space="0"/>
              <w:right w:val="single" w:color="000000" w:sz="4" w:space="0"/>
            </w:tcBorders>
            <w:noWrap w:val="0"/>
            <w:vAlign w:val="center"/>
          </w:tcPr>
          <w:p w14:paraId="30E4DD6B">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余额同比增速</w:t>
            </w:r>
          </w:p>
        </w:tc>
        <w:tc>
          <w:tcPr>
            <w:tcW w:w="1665" w:type="dxa"/>
            <w:tcBorders>
              <w:top w:val="nil"/>
              <w:left w:val="nil"/>
              <w:bottom w:val="single" w:color="000000" w:sz="4" w:space="0"/>
              <w:right w:val="single" w:color="000000" w:sz="4" w:space="0"/>
            </w:tcBorders>
            <w:noWrap w:val="0"/>
            <w:vAlign w:val="center"/>
          </w:tcPr>
          <w:p w14:paraId="275AF48B">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5</w:t>
            </w:r>
          </w:p>
        </w:tc>
      </w:tr>
      <w:tr w14:paraId="28C7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trPr>
        <w:tc>
          <w:tcPr>
            <w:tcW w:w="1744" w:type="dxa"/>
            <w:vMerge w:val="continue"/>
            <w:tcBorders>
              <w:top w:val="nil"/>
              <w:left w:val="single" w:color="000000" w:sz="4" w:space="0"/>
              <w:bottom w:val="single" w:color="000000" w:sz="4" w:space="0"/>
              <w:right w:val="single" w:color="000000" w:sz="4" w:space="0"/>
            </w:tcBorders>
            <w:noWrap w:val="0"/>
            <w:vAlign w:val="center"/>
          </w:tcPr>
          <w:p w14:paraId="0415E940">
            <w:pPr>
              <w:spacing w:line="280" w:lineRule="exact"/>
              <w:rPr>
                <w:rFonts w:hint="default" w:ascii="Times New Roman" w:hAnsi="Times New Roman" w:cs="Times New Roman"/>
                <w:color w:val="auto"/>
                <w:sz w:val="20"/>
                <w:szCs w:val="20"/>
              </w:rPr>
            </w:pPr>
          </w:p>
        </w:tc>
        <w:tc>
          <w:tcPr>
            <w:tcW w:w="2839" w:type="dxa"/>
            <w:tcBorders>
              <w:top w:val="nil"/>
              <w:left w:val="nil"/>
              <w:bottom w:val="single" w:color="000000" w:sz="4" w:space="0"/>
              <w:right w:val="single" w:color="000000" w:sz="4" w:space="0"/>
            </w:tcBorders>
            <w:noWrap w:val="0"/>
            <w:vAlign w:val="center"/>
          </w:tcPr>
          <w:p w14:paraId="0D2A5F4B">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知识产权质押贷款</w:t>
            </w:r>
          </w:p>
        </w:tc>
        <w:tc>
          <w:tcPr>
            <w:tcW w:w="2839" w:type="dxa"/>
            <w:tcBorders>
              <w:top w:val="nil"/>
              <w:left w:val="nil"/>
              <w:bottom w:val="single" w:color="000000" w:sz="4" w:space="0"/>
              <w:right w:val="single" w:color="000000" w:sz="4" w:space="0"/>
            </w:tcBorders>
            <w:noWrap w:val="0"/>
            <w:vAlign w:val="center"/>
          </w:tcPr>
          <w:p w14:paraId="54B1D39F">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余额同比增速</w:t>
            </w:r>
          </w:p>
        </w:tc>
        <w:tc>
          <w:tcPr>
            <w:tcW w:w="1665" w:type="dxa"/>
            <w:tcBorders>
              <w:top w:val="nil"/>
              <w:left w:val="nil"/>
              <w:bottom w:val="single" w:color="000000" w:sz="4" w:space="0"/>
              <w:right w:val="single" w:color="000000" w:sz="4" w:space="0"/>
            </w:tcBorders>
            <w:noWrap w:val="0"/>
            <w:vAlign w:val="center"/>
          </w:tcPr>
          <w:p w14:paraId="46AD506E">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5</w:t>
            </w:r>
          </w:p>
        </w:tc>
      </w:tr>
      <w:tr w14:paraId="5817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4" w:type="dxa"/>
            <w:vMerge w:val="continue"/>
            <w:tcBorders>
              <w:top w:val="nil"/>
              <w:left w:val="single" w:color="000000" w:sz="4" w:space="0"/>
              <w:bottom w:val="single" w:color="000000" w:sz="4" w:space="0"/>
              <w:right w:val="single" w:color="000000" w:sz="4" w:space="0"/>
            </w:tcBorders>
            <w:noWrap w:val="0"/>
            <w:vAlign w:val="center"/>
          </w:tcPr>
          <w:p w14:paraId="5E9DDB9B">
            <w:pPr>
              <w:spacing w:line="280" w:lineRule="exact"/>
              <w:rPr>
                <w:rFonts w:hint="default" w:ascii="Times New Roman" w:hAnsi="Times New Roman" w:cs="Times New Roman"/>
                <w:color w:val="auto"/>
                <w:sz w:val="20"/>
                <w:szCs w:val="20"/>
              </w:rPr>
            </w:pPr>
          </w:p>
        </w:tc>
        <w:tc>
          <w:tcPr>
            <w:tcW w:w="2839" w:type="dxa"/>
            <w:tcBorders>
              <w:top w:val="nil"/>
              <w:left w:val="nil"/>
              <w:bottom w:val="single" w:color="000000" w:sz="4" w:space="0"/>
              <w:right w:val="single" w:color="000000" w:sz="4" w:space="0"/>
            </w:tcBorders>
            <w:noWrap w:val="0"/>
            <w:vAlign w:val="center"/>
          </w:tcPr>
          <w:p w14:paraId="4FA8E2FE">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科技型企业贷款不良率</w:t>
            </w:r>
          </w:p>
        </w:tc>
        <w:tc>
          <w:tcPr>
            <w:tcW w:w="2839" w:type="dxa"/>
            <w:tcBorders>
              <w:top w:val="nil"/>
              <w:left w:val="nil"/>
              <w:bottom w:val="single" w:color="000000" w:sz="4" w:space="0"/>
              <w:right w:val="single" w:color="000000" w:sz="4" w:space="0"/>
            </w:tcBorders>
            <w:noWrap w:val="0"/>
            <w:vAlign w:val="center"/>
          </w:tcPr>
          <w:p w14:paraId="265B3776">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与同组比较</w:t>
            </w:r>
          </w:p>
        </w:tc>
        <w:tc>
          <w:tcPr>
            <w:tcW w:w="1665" w:type="dxa"/>
            <w:tcBorders>
              <w:top w:val="nil"/>
              <w:left w:val="nil"/>
              <w:bottom w:val="single" w:color="000000" w:sz="4" w:space="0"/>
              <w:right w:val="single" w:color="000000" w:sz="4" w:space="0"/>
            </w:tcBorders>
            <w:noWrap w:val="0"/>
            <w:vAlign w:val="center"/>
          </w:tcPr>
          <w:p w14:paraId="2F4A9C66">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28"/>
                <w:szCs w:val="28"/>
              </w:rPr>
            </w:pPr>
            <w:r>
              <w:rPr>
                <w:rFonts w:hint="eastAsia" w:ascii="仿宋_GB2312" w:hAnsi="宋体" w:eastAsia="仿宋_GB2312" w:cs="仿宋_GB2312"/>
                <w:b w:val="0"/>
                <w:color w:val="auto"/>
                <w:kern w:val="0"/>
                <w:sz w:val="28"/>
                <w:szCs w:val="28"/>
                <w:lang w:val="en-US" w:eastAsia="zh-CN" w:bidi="ar"/>
              </w:rPr>
              <w:t>10</w:t>
            </w:r>
          </w:p>
        </w:tc>
      </w:tr>
      <w:tr w14:paraId="5BB5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744" w:type="dxa"/>
            <w:tcBorders>
              <w:top w:val="nil"/>
              <w:left w:val="single" w:color="000000" w:sz="4" w:space="0"/>
              <w:bottom w:val="single" w:color="000000" w:sz="4" w:space="0"/>
              <w:right w:val="single" w:color="000000" w:sz="4" w:space="0"/>
            </w:tcBorders>
            <w:noWrap w:val="0"/>
            <w:vAlign w:val="center"/>
          </w:tcPr>
          <w:p w14:paraId="0F6FCB87">
            <w:pPr>
              <w:keepNext w:val="0"/>
              <w:keepLines w:val="0"/>
              <w:widowControl/>
              <w:suppressLineNumbers w:val="0"/>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加分项</w:t>
            </w:r>
          </w:p>
        </w:tc>
        <w:tc>
          <w:tcPr>
            <w:tcW w:w="5678" w:type="dxa"/>
            <w:gridSpan w:val="2"/>
            <w:tcBorders>
              <w:top w:val="nil"/>
              <w:left w:val="nil"/>
              <w:bottom w:val="single" w:color="000000" w:sz="4" w:space="0"/>
              <w:right w:val="single" w:color="000000" w:sz="4" w:space="0"/>
            </w:tcBorders>
            <w:noWrap w:val="0"/>
            <w:vAlign w:val="center"/>
          </w:tcPr>
          <w:p w14:paraId="421837EC">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color w:val="auto"/>
                <w:kern w:val="2"/>
                <w:sz w:val="28"/>
                <w:szCs w:val="28"/>
              </w:rPr>
            </w:pPr>
            <w:r>
              <w:rPr>
                <w:rFonts w:hint="eastAsia" w:ascii="仿宋_GB2312" w:hAnsi="宋体" w:eastAsia="仿宋_GB2312" w:cs="仿宋_GB2312"/>
                <w:color w:val="auto"/>
                <w:kern w:val="0"/>
                <w:sz w:val="28"/>
                <w:szCs w:val="28"/>
                <w:lang w:val="en-US" w:eastAsia="zh-CN" w:bidi="ar"/>
              </w:rPr>
              <w:t>新发放科技型企业贷款加权平均利率</w:t>
            </w:r>
          </w:p>
        </w:tc>
        <w:tc>
          <w:tcPr>
            <w:tcW w:w="1665" w:type="dxa"/>
            <w:tcBorders>
              <w:top w:val="nil"/>
              <w:left w:val="nil"/>
              <w:bottom w:val="single" w:color="000000" w:sz="4" w:space="0"/>
              <w:right w:val="single" w:color="000000" w:sz="4" w:space="0"/>
            </w:tcBorders>
            <w:noWrap w:val="0"/>
            <w:vAlign w:val="center"/>
          </w:tcPr>
          <w:p w14:paraId="7AB57267">
            <w:pPr>
              <w:keepNext w:val="0"/>
              <w:keepLines w:val="0"/>
              <w:widowControl/>
              <w:suppressLineNumbers w:val="0"/>
              <w:autoSpaceDE w:val="0"/>
              <w:autoSpaceDN/>
              <w:spacing w:before="0" w:beforeLines="0" w:beforeAutospacing="0" w:after="0" w:afterLines="0" w:afterAutospacing="0" w:line="280" w:lineRule="exact"/>
              <w:ind w:left="0" w:leftChars="0" w:right="0" w:firstLine="0" w:firstLineChars="0"/>
              <w:jc w:val="center"/>
              <w:textAlignment w:val="center"/>
              <w:rPr>
                <w:rFonts w:hint="eastAsia" w:ascii="仿宋_GB2312" w:hAnsi="宋体" w:eastAsia="仿宋_GB2312" w:cs="仿宋_GB2312"/>
                <w:b w:val="0"/>
                <w:color w:val="auto"/>
                <w:kern w:val="2"/>
                <w:sz w:val="32"/>
                <w:szCs w:val="32"/>
              </w:rPr>
            </w:pPr>
            <w:r>
              <w:rPr>
                <w:rFonts w:hint="eastAsia" w:ascii="仿宋_GB2312" w:hAnsi="宋体" w:eastAsia="仿宋_GB2312" w:cs="仿宋_GB2312"/>
                <w:b w:val="0"/>
                <w:color w:val="auto"/>
                <w:kern w:val="0"/>
                <w:sz w:val="32"/>
                <w:szCs w:val="32"/>
                <w:lang w:val="en-US" w:eastAsia="zh-CN" w:bidi="ar"/>
              </w:rPr>
              <w:t>5</w:t>
            </w:r>
          </w:p>
        </w:tc>
      </w:tr>
    </w:tbl>
    <w:p w14:paraId="3C7D2C6E">
      <w:pPr>
        <w:keepNext w:val="0"/>
        <w:keepLines w:val="0"/>
        <w:widowControl w:val="0"/>
        <w:suppressLineNumbers w:val="0"/>
        <w:autoSpaceDE w:val="0"/>
        <w:autoSpaceDN/>
        <w:spacing w:before="0" w:beforeLines="0" w:beforeAutospacing="0" w:after="0" w:afterLines="0" w:afterAutospacing="0"/>
        <w:ind w:left="0" w:leftChars="0" w:right="0" w:rightChars="0" w:firstLine="640"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kern w:val="2"/>
          <w:sz w:val="32"/>
          <w:szCs w:val="32"/>
          <w:vertAlign w:val="baseline"/>
          <w:lang w:val="en-US" w:eastAsia="zh-CN" w:bidi="ar"/>
        </w:rPr>
        <w:t>前三项一级指标中，科技型企业贷款不良率为反向指标，其余均为正向指标。</w:t>
      </w:r>
    </w:p>
    <w:p w14:paraId="15DADC83">
      <w:pPr>
        <w:keepNext w:val="0"/>
        <w:keepLines w:val="0"/>
        <w:widowControl w:val="0"/>
        <w:suppressLineNumbers w:val="0"/>
        <w:autoSpaceDE w:val="0"/>
        <w:autoSpaceDN/>
        <w:spacing w:before="0" w:beforeLines="0" w:beforeAutospacing="0" w:after="0" w:afterLines="0" w:afterAutospacing="0"/>
        <w:ind w:left="0" w:leftChars="0" w:right="0" w:rightChars="0" w:firstLine="616" w:firstLineChars="200"/>
        <w:jc w:val="both"/>
        <w:textAlignment w:val="baseline"/>
        <w:rPr>
          <w:rFonts w:hint="eastAsia" w:ascii="仿宋_GB2312" w:eastAsia="仿宋_GB2312" w:cs="Times New Roman"/>
          <w:b w:val="0"/>
          <w:color w:val="auto"/>
          <w:spacing w:val="-6"/>
          <w:kern w:val="2"/>
          <w:sz w:val="32"/>
          <w:szCs w:val="32"/>
          <w:vertAlign w:val="baseline"/>
        </w:rPr>
      </w:pPr>
      <w:r>
        <w:rPr>
          <w:rFonts w:hint="eastAsia" w:ascii="仿宋_GB2312" w:hAnsi="Times New Roman" w:eastAsia="仿宋_GB2312" w:cs="仿宋_GB2312"/>
          <w:b w:val="0"/>
          <w:color w:val="auto"/>
          <w:spacing w:val="-6"/>
          <w:kern w:val="2"/>
          <w:sz w:val="32"/>
          <w:szCs w:val="32"/>
          <w:vertAlign w:val="baseline"/>
          <w:lang w:val="en-US" w:eastAsia="zh-CN" w:bidi="ar"/>
        </w:rPr>
        <w:t>正向指标的指标值计算公式为：指标值</w:t>
      </w:r>
      <w:r>
        <w:rPr>
          <w:rFonts w:hint="eastAsia" w:ascii="仿宋_GB2312" w:hAnsi="Times New Roman" w:eastAsia="仿宋_GB2312" w:cs="Times New Roman"/>
          <w:b w:val="0"/>
          <w:color w:val="auto"/>
          <w:spacing w:val="-6"/>
          <w:kern w:val="2"/>
          <w:sz w:val="32"/>
          <w:szCs w:val="32"/>
          <w:vertAlign w:val="baseline"/>
          <w:lang w:val="en-US" w:eastAsia="zh-CN" w:bidi="ar"/>
        </w:rPr>
        <w:t>=[（指标原始值-指标最小值）×40%×满分]/（指标最大值-指标最小值）+60%×满分</w:t>
      </w:r>
    </w:p>
    <w:p w14:paraId="453C202F">
      <w:pPr>
        <w:keepNext w:val="0"/>
        <w:keepLines w:val="0"/>
        <w:widowControl w:val="0"/>
        <w:suppressLineNumbers w:val="0"/>
        <w:autoSpaceDE w:val="0"/>
        <w:autoSpaceDN/>
        <w:spacing w:before="0" w:beforeLines="0" w:beforeAutospacing="0" w:after="0" w:afterLines="0" w:afterAutospacing="0"/>
        <w:ind w:left="0" w:leftChars="0" w:right="0" w:rightChars="0" w:firstLine="616" w:firstLineChars="200"/>
        <w:jc w:val="both"/>
        <w:textAlignment w:val="baseline"/>
        <w:rPr>
          <w:rFonts w:hint="eastAsia" w:ascii="仿宋_GB2312" w:eastAsia="仿宋_GB2312" w:cs="Times New Roman"/>
          <w:b w:val="0"/>
          <w:color w:val="auto"/>
          <w:kern w:val="2"/>
          <w:sz w:val="32"/>
          <w:szCs w:val="32"/>
          <w:vertAlign w:val="baseline"/>
        </w:rPr>
      </w:pPr>
      <w:r>
        <w:rPr>
          <w:rFonts w:hint="eastAsia" w:ascii="仿宋_GB2312" w:hAnsi="Times New Roman" w:eastAsia="仿宋_GB2312" w:cs="仿宋_GB2312"/>
          <w:b w:val="0"/>
          <w:color w:val="auto"/>
          <w:spacing w:val="-6"/>
          <w:kern w:val="2"/>
          <w:sz w:val="32"/>
          <w:szCs w:val="32"/>
          <w:vertAlign w:val="baseline"/>
          <w:lang w:val="en-US" w:eastAsia="zh-CN" w:bidi="ar"/>
        </w:rPr>
        <w:t>反向指标的指标值计算公式为：指标值</w:t>
      </w:r>
      <w:r>
        <w:rPr>
          <w:rFonts w:hint="eastAsia" w:ascii="仿宋_GB2312" w:hAnsi="Times New Roman" w:eastAsia="仿宋_GB2312" w:cs="Times New Roman"/>
          <w:b w:val="0"/>
          <w:color w:val="auto"/>
          <w:spacing w:val="-6"/>
          <w:kern w:val="2"/>
          <w:sz w:val="32"/>
          <w:szCs w:val="32"/>
          <w:vertAlign w:val="baseline"/>
          <w:lang w:val="en-US" w:eastAsia="zh-CN" w:bidi="ar"/>
        </w:rPr>
        <w:t>=[（指标最大值-指标原始值）×40%×满分]/（指标最大值-指标最小值）+60%×满分。</w:t>
      </w:r>
    </w:p>
    <w:p w14:paraId="54FE09FB">
      <w:pPr>
        <w:keepNext w:val="0"/>
        <w:keepLines w:val="0"/>
        <w:widowControl w:val="0"/>
        <w:suppressLineNumbers w:val="0"/>
        <w:spacing w:before="0" w:beforeLines="0" w:beforeAutospacing="0" w:after="0" w:afterLines="0" w:afterAutospacing="0"/>
        <w:ind w:left="0" w:right="0" w:firstLine="640" w:firstLineChars="200"/>
        <w:jc w:val="both"/>
        <w:rPr>
          <w:color w:val="auto"/>
        </w:rPr>
      </w:pPr>
      <w:r>
        <w:rPr>
          <w:rFonts w:hint="eastAsia" w:ascii="仿宋_GB2312" w:hAnsi="Times New Roman" w:eastAsia="仿宋_GB2312" w:cs="仿宋_GB2312"/>
          <w:b w:val="0"/>
          <w:color w:val="auto"/>
          <w:kern w:val="2"/>
          <w:sz w:val="32"/>
          <w:szCs w:val="32"/>
          <w:lang w:val="en-US" w:eastAsia="zh-CN" w:bidi="ar"/>
        </w:rPr>
        <w:t>最大（最小）值，是指对各组银行指标原始值排序后得到的最大（最小）取值。</w:t>
      </w:r>
    </w:p>
    <w:p w14:paraId="60D8CAE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eastAsia" w:ascii="黑体" w:hAnsi="黑体" w:eastAsia="黑体" w:cs="黑体"/>
          <w:b w:val="0"/>
          <w:color w:val="auto"/>
          <w:kern w:val="2"/>
          <w:sz w:val="32"/>
          <w:lang w:val="en-US" w:eastAsia="zh-CN"/>
        </w:rPr>
        <w:sectPr>
          <w:footerReference r:id="rId3" w:type="default"/>
          <w:footerReference r:id="rId4" w:type="even"/>
          <w:pgSz w:w="11906" w:h="16838"/>
          <w:pgMar w:top="1898" w:right="1531" w:bottom="1984" w:left="1531" w:header="850" w:footer="1417" w:gutter="0"/>
          <w:pgBorders>
            <w:top w:val="none" w:sz="0" w:space="0"/>
            <w:left w:val="none" w:sz="0" w:space="0"/>
            <w:bottom w:val="none" w:sz="0" w:space="0"/>
            <w:right w:val="none" w:sz="0" w:space="0"/>
          </w:pgBorders>
          <w:pgNumType w:fmt="decimal"/>
          <w:cols w:space="720" w:num="1"/>
          <w:rtlGutter w:val="0"/>
          <w:docGrid w:type="lines" w:linePitch="579" w:charSpace="0"/>
        </w:sectPr>
      </w:pPr>
    </w:p>
    <w:p w14:paraId="4B93FE5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eastAsia" w:ascii="黑体" w:hAnsi="黑体" w:eastAsia="黑体" w:cs="黑体"/>
          <w:b w:val="0"/>
          <w:color w:val="auto"/>
          <w:kern w:val="2"/>
          <w:sz w:val="32"/>
          <w:lang w:val="en-US" w:eastAsia="zh-CN"/>
        </w:rPr>
      </w:pPr>
      <w:r>
        <w:rPr>
          <w:rFonts w:hint="eastAsia" w:ascii="黑体" w:hAnsi="黑体" w:eastAsia="黑体" w:cs="黑体"/>
          <w:b w:val="0"/>
          <w:color w:val="auto"/>
          <w:kern w:val="2"/>
          <w:sz w:val="32"/>
          <w:lang w:val="en-US" w:eastAsia="zh-CN"/>
        </w:rPr>
        <w:t>附件2</w:t>
      </w:r>
    </w:p>
    <w:p w14:paraId="5470A66E">
      <w:pPr>
        <w:spacing w:before="0" w:beforeLines="0" w:line="720" w:lineRule="exact"/>
        <w:jc w:val="center"/>
        <w:rPr>
          <w:rFonts w:hint="default" w:ascii="方正小标宋_GBK" w:hAnsi="方正小标宋_GBK" w:eastAsia="方正小标宋_GBK" w:cs="方正小标宋_GBK"/>
          <w:color w:val="auto"/>
          <w:sz w:val="44"/>
          <w:lang w:val="en-US" w:eastAsia="zh-CN"/>
        </w:rPr>
      </w:pPr>
      <w:r>
        <w:rPr>
          <w:rFonts w:hint="default" w:ascii="方正小标宋_GBK" w:hAnsi="方正小标宋_GBK" w:eastAsia="方正小标宋_GBK" w:cs="方正小标宋_GBK"/>
          <w:color w:val="auto"/>
          <w:sz w:val="44"/>
          <w:lang w:val="en-US" w:eastAsia="zh-CN"/>
        </w:rPr>
        <w:t>科技金融服务效果评估工作联系人表</w:t>
      </w:r>
    </w:p>
    <w:p w14:paraId="7542439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default" w:ascii="仿宋_GB2312" w:hAnsi="仿宋_GB2312" w:eastAsia="仿宋_GB2312" w:cs="Times New Roman"/>
          <w:b w:val="0"/>
          <w:color w:val="auto"/>
          <w:kern w:val="2"/>
          <w:sz w:val="32"/>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gridCol w:w="1840"/>
        <w:gridCol w:w="1580"/>
        <w:gridCol w:w="2533"/>
      </w:tblGrid>
      <w:tr w14:paraId="6E04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266" w:type="dxa"/>
            <w:tcBorders>
              <w:top w:val="single" w:color="auto" w:sz="4" w:space="0"/>
              <w:left w:val="single" w:color="auto" w:sz="4" w:space="0"/>
              <w:bottom w:val="single" w:color="auto" w:sz="4" w:space="0"/>
              <w:right w:val="single" w:color="auto" w:sz="4" w:space="0"/>
            </w:tcBorders>
            <w:noWrap w:val="0"/>
            <w:vAlign w:val="center"/>
          </w:tcPr>
          <w:p w14:paraId="0AF93828">
            <w:pPr>
              <w:keepNext w:val="0"/>
              <w:keepLines w:val="0"/>
              <w:widowControl w:val="0"/>
              <w:suppressLineNumbers w:val="0"/>
              <w:autoSpaceDE w:val="0"/>
              <w:autoSpaceDN/>
              <w:spacing w:before="0" w:beforeLines="0" w:beforeAutospacing="0" w:after="0" w:afterLines="0" w:afterAutospacing="0"/>
              <w:ind w:left="0" w:leftChars="0" w:right="0" w:rightChars="0" w:firstLine="0" w:firstLineChars="0"/>
              <w:jc w:val="center"/>
              <w:textAlignment w:val="baseline"/>
              <w:rPr>
                <w:rFonts w:hint="eastAsia" w:ascii="仿宋_GB2312" w:hAnsi="仿宋_GB2312" w:eastAsia="仿宋_GB2312" w:cs="仿宋_GB2312"/>
                <w:b/>
                <w:bCs/>
                <w:color w:val="auto"/>
                <w:kern w:val="2"/>
                <w:sz w:val="32"/>
                <w:szCs w:val="32"/>
                <w:vertAlign w:val="baseline"/>
              </w:rPr>
            </w:pPr>
            <w:r>
              <w:rPr>
                <w:rFonts w:hint="eastAsia" w:ascii="仿宋_GB2312" w:hAnsi="仿宋_GB2312" w:eastAsia="仿宋_GB2312" w:cs="仿宋_GB2312"/>
                <w:b/>
                <w:bCs/>
                <w:color w:val="auto"/>
                <w:kern w:val="2"/>
                <w:sz w:val="32"/>
                <w:szCs w:val="32"/>
                <w:vertAlign w:val="baseline"/>
                <w:lang w:val="en-US" w:eastAsia="zh-CN" w:bidi="ar"/>
              </w:rPr>
              <w:t>单位</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9E5AD59">
            <w:pPr>
              <w:keepNext w:val="0"/>
              <w:keepLines w:val="0"/>
              <w:widowControl w:val="0"/>
              <w:suppressLineNumbers w:val="0"/>
              <w:autoSpaceDE w:val="0"/>
              <w:autoSpaceDN/>
              <w:spacing w:before="0" w:beforeLines="0" w:beforeAutospacing="0" w:after="0" w:afterLines="0" w:afterAutospacing="0"/>
              <w:ind w:left="0" w:leftChars="0" w:right="0" w:rightChars="0" w:firstLine="0" w:firstLineChars="0"/>
              <w:jc w:val="center"/>
              <w:textAlignment w:val="baseline"/>
              <w:rPr>
                <w:rFonts w:hint="eastAsia" w:ascii="仿宋_GB2312" w:hAnsi="仿宋_GB2312" w:eastAsia="仿宋_GB2312" w:cs="仿宋_GB2312"/>
                <w:b/>
                <w:bCs/>
                <w:color w:val="auto"/>
                <w:kern w:val="2"/>
                <w:sz w:val="32"/>
                <w:szCs w:val="32"/>
                <w:vertAlign w:val="baseline"/>
              </w:rPr>
            </w:pPr>
            <w:r>
              <w:rPr>
                <w:rFonts w:hint="eastAsia" w:ascii="仿宋_GB2312" w:hAnsi="仿宋_GB2312" w:eastAsia="仿宋_GB2312" w:cs="仿宋_GB2312"/>
                <w:b/>
                <w:bCs/>
                <w:color w:val="auto"/>
                <w:kern w:val="2"/>
                <w:sz w:val="32"/>
                <w:szCs w:val="32"/>
                <w:vertAlign w:val="baseline"/>
                <w:lang w:val="en-US" w:eastAsia="zh-CN" w:bidi="ar"/>
              </w:rPr>
              <w:t>部门</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1599E73">
            <w:pPr>
              <w:keepNext w:val="0"/>
              <w:keepLines w:val="0"/>
              <w:widowControl w:val="0"/>
              <w:suppressLineNumbers w:val="0"/>
              <w:autoSpaceDE w:val="0"/>
              <w:autoSpaceDN/>
              <w:spacing w:before="0" w:beforeLines="0" w:beforeAutospacing="0" w:after="0" w:afterLines="0" w:afterAutospacing="0"/>
              <w:ind w:left="0" w:leftChars="0" w:right="0" w:rightChars="0" w:firstLine="0" w:firstLineChars="0"/>
              <w:jc w:val="center"/>
              <w:textAlignment w:val="baseline"/>
              <w:rPr>
                <w:rFonts w:hint="eastAsia" w:ascii="仿宋_GB2312" w:hAnsi="仿宋_GB2312" w:eastAsia="仿宋_GB2312" w:cs="仿宋_GB2312"/>
                <w:b/>
                <w:bCs/>
                <w:color w:val="auto"/>
                <w:kern w:val="2"/>
                <w:sz w:val="32"/>
                <w:szCs w:val="32"/>
                <w:vertAlign w:val="baseline"/>
              </w:rPr>
            </w:pPr>
            <w:r>
              <w:rPr>
                <w:rFonts w:hint="eastAsia" w:ascii="仿宋_GB2312" w:hAnsi="仿宋_GB2312" w:eastAsia="仿宋_GB2312" w:cs="仿宋_GB2312"/>
                <w:b/>
                <w:bCs/>
                <w:color w:val="auto"/>
                <w:kern w:val="2"/>
                <w:sz w:val="32"/>
                <w:szCs w:val="32"/>
                <w:vertAlign w:val="baseline"/>
                <w:lang w:val="en-US" w:eastAsia="zh-CN" w:bidi="ar"/>
              </w:rPr>
              <w:t>姓名</w:t>
            </w:r>
          </w:p>
        </w:tc>
        <w:tc>
          <w:tcPr>
            <w:tcW w:w="2533" w:type="dxa"/>
            <w:tcBorders>
              <w:top w:val="single" w:color="auto" w:sz="4" w:space="0"/>
              <w:left w:val="single" w:color="auto" w:sz="4" w:space="0"/>
              <w:bottom w:val="single" w:color="auto" w:sz="4" w:space="0"/>
              <w:right w:val="single" w:color="auto" w:sz="4" w:space="0"/>
            </w:tcBorders>
            <w:noWrap w:val="0"/>
            <w:vAlign w:val="center"/>
          </w:tcPr>
          <w:p w14:paraId="174B00E2">
            <w:pPr>
              <w:keepNext w:val="0"/>
              <w:keepLines w:val="0"/>
              <w:widowControl w:val="0"/>
              <w:suppressLineNumbers w:val="0"/>
              <w:autoSpaceDE w:val="0"/>
              <w:autoSpaceDN/>
              <w:spacing w:before="0" w:beforeLines="0" w:beforeAutospacing="0" w:after="0" w:afterLines="0" w:afterAutospacing="0"/>
              <w:ind w:left="0" w:leftChars="0" w:right="0" w:rightChars="0" w:firstLine="0" w:firstLineChars="0"/>
              <w:jc w:val="center"/>
              <w:textAlignment w:val="baseline"/>
              <w:rPr>
                <w:rFonts w:hint="eastAsia" w:ascii="仿宋_GB2312" w:hAnsi="仿宋_GB2312" w:eastAsia="仿宋_GB2312" w:cs="仿宋_GB2312"/>
                <w:b/>
                <w:bCs/>
                <w:color w:val="auto"/>
                <w:kern w:val="2"/>
                <w:sz w:val="32"/>
                <w:szCs w:val="32"/>
                <w:vertAlign w:val="baseline"/>
              </w:rPr>
            </w:pPr>
            <w:r>
              <w:rPr>
                <w:rFonts w:hint="eastAsia" w:ascii="仿宋_GB2312" w:hAnsi="仿宋_GB2312" w:eastAsia="仿宋_GB2312" w:cs="仿宋_GB2312"/>
                <w:b/>
                <w:bCs/>
                <w:color w:val="auto"/>
                <w:kern w:val="2"/>
                <w:sz w:val="32"/>
                <w:szCs w:val="32"/>
                <w:vertAlign w:val="baseline"/>
                <w:lang w:val="en-US" w:eastAsia="zh-CN" w:bidi="ar"/>
              </w:rPr>
              <w:t>联系电话</w:t>
            </w:r>
          </w:p>
        </w:tc>
      </w:tr>
      <w:tr w14:paraId="6098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3266" w:type="dxa"/>
            <w:tcBorders>
              <w:top w:val="single" w:color="auto" w:sz="4" w:space="0"/>
              <w:left w:val="single" w:color="auto" w:sz="4" w:space="0"/>
              <w:bottom w:val="single" w:color="auto" w:sz="4" w:space="0"/>
              <w:right w:val="single" w:color="auto" w:sz="4" w:space="0"/>
            </w:tcBorders>
            <w:noWrap w:val="0"/>
            <w:vAlign w:val="center"/>
          </w:tcPr>
          <w:p w14:paraId="3B536E52">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center"/>
              <w:textAlignment w:val="baseline"/>
              <w:rPr>
                <w:rFonts w:hint="eastAsia" w:ascii="仿宋_GB2312" w:hAnsi="仿宋_GB2312" w:eastAsia="仿宋_GB2312" w:cs="仿宋_GB2312"/>
                <w:color w:val="auto"/>
                <w:kern w:val="2"/>
                <w:sz w:val="32"/>
                <w:szCs w:val="32"/>
                <w:vertAlign w:val="baseline"/>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E3C7238">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center"/>
              <w:textAlignment w:val="baseline"/>
              <w:rPr>
                <w:rFonts w:hint="eastAsia" w:ascii="仿宋_GB2312" w:hAnsi="仿宋_GB2312" w:eastAsia="仿宋_GB2312" w:cs="仿宋_GB2312"/>
                <w:color w:val="auto"/>
                <w:kern w:val="2"/>
                <w:sz w:val="32"/>
                <w:szCs w:val="32"/>
                <w:vertAlign w:val="baseline"/>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A7ABAA0">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center"/>
              <w:textAlignment w:val="baseline"/>
              <w:rPr>
                <w:rFonts w:hint="eastAsia" w:ascii="仿宋_GB2312" w:hAnsi="仿宋_GB2312" w:eastAsia="仿宋_GB2312" w:cs="仿宋_GB2312"/>
                <w:color w:val="auto"/>
                <w:kern w:val="2"/>
                <w:sz w:val="32"/>
                <w:szCs w:val="32"/>
                <w:vertAlign w:val="baseline"/>
              </w:rPr>
            </w:pPr>
          </w:p>
        </w:tc>
        <w:tc>
          <w:tcPr>
            <w:tcW w:w="2533" w:type="dxa"/>
            <w:tcBorders>
              <w:top w:val="single" w:color="auto" w:sz="4" w:space="0"/>
              <w:left w:val="single" w:color="auto" w:sz="4" w:space="0"/>
              <w:bottom w:val="single" w:color="auto" w:sz="4" w:space="0"/>
              <w:right w:val="single" w:color="auto" w:sz="4" w:space="0"/>
            </w:tcBorders>
            <w:noWrap w:val="0"/>
            <w:vAlign w:val="center"/>
          </w:tcPr>
          <w:p w14:paraId="3ECADF53">
            <w:pPr>
              <w:keepNext w:val="0"/>
              <w:keepLines w:val="0"/>
              <w:widowControl w:val="0"/>
              <w:suppressLineNumbers w:val="0"/>
              <w:autoSpaceDE w:val="0"/>
              <w:autoSpaceDN/>
              <w:spacing w:before="0" w:beforeLines="0" w:beforeAutospacing="0" w:after="0" w:afterLines="0" w:afterAutospacing="0"/>
              <w:ind w:left="0" w:right="0" w:rightChars="0" w:firstLine="640" w:firstLineChars="200"/>
              <w:jc w:val="center"/>
              <w:textAlignment w:val="baseline"/>
              <w:rPr>
                <w:rFonts w:hint="eastAsia" w:ascii="仿宋_GB2312" w:hAnsi="仿宋_GB2312" w:eastAsia="仿宋_GB2312" w:cs="仿宋_GB2312"/>
                <w:color w:val="auto"/>
                <w:kern w:val="2"/>
                <w:sz w:val="32"/>
                <w:szCs w:val="32"/>
                <w:vertAlign w:val="baseline"/>
              </w:rPr>
            </w:pPr>
          </w:p>
        </w:tc>
      </w:tr>
    </w:tbl>
    <w:p w14:paraId="4421CDF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baseline"/>
        <w:outlineLvl w:val="9"/>
        <w:rPr>
          <w:rFonts w:hint="default" w:ascii="仿宋_GB2312" w:hAnsi="仿宋_GB2312" w:eastAsia="仿宋_GB2312" w:cs="Times New Roman"/>
          <w:b w:val="0"/>
          <w:color w:val="auto"/>
          <w:kern w:val="2"/>
          <w:sz w:val="32"/>
          <w:lang w:val="en-US" w:eastAsia="zh-CN"/>
        </w:rPr>
      </w:pPr>
    </w:p>
    <w:p w14:paraId="5E074ACA">
      <w:pPr>
        <w:wordWrap/>
        <w:jc w:val="both"/>
        <w:outlineLvl w:val="0"/>
        <w:rPr>
          <w:rFonts w:hint="eastAsia" w:ascii="仿宋_GB2312" w:eastAsia="仿宋_GB2312"/>
          <w:color w:val="auto"/>
          <w:sz w:val="32"/>
        </w:rPr>
      </w:pPr>
    </w:p>
    <w:p w14:paraId="27ABECA8">
      <w:pPr>
        <w:wordWrap/>
        <w:jc w:val="both"/>
        <w:outlineLvl w:val="0"/>
        <w:rPr>
          <w:rFonts w:hint="eastAsia" w:ascii="仿宋_GB2312" w:eastAsia="仿宋_GB2312"/>
          <w:color w:val="auto"/>
          <w:sz w:val="32"/>
        </w:rPr>
      </w:pPr>
    </w:p>
    <w:p w14:paraId="5F8FC085">
      <w:pPr>
        <w:wordWrap/>
        <w:jc w:val="both"/>
        <w:outlineLvl w:val="0"/>
        <w:rPr>
          <w:rFonts w:hint="eastAsia" w:ascii="仿宋_GB2312" w:eastAsia="仿宋_GB2312"/>
          <w:color w:val="auto"/>
          <w:sz w:val="32"/>
        </w:rPr>
      </w:pPr>
    </w:p>
    <w:p w14:paraId="32DB7C01">
      <w:pPr>
        <w:wordWrap/>
        <w:jc w:val="both"/>
        <w:outlineLvl w:val="0"/>
        <w:rPr>
          <w:rFonts w:hint="eastAsia" w:ascii="仿宋_GB2312" w:eastAsia="仿宋_GB2312"/>
          <w:color w:val="auto"/>
          <w:sz w:val="32"/>
        </w:rPr>
      </w:pPr>
    </w:p>
    <w:p w14:paraId="620DB9E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6AC0D">
    <w:pPr>
      <w:pStyle w:val="2"/>
      <w:ind w:right="360" w:firstLine="360"/>
      <w:jc w:val="right"/>
      <w:rPr>
        <w:rFonts w:ascii="仿宋_GB2312"/>
        <w:sz w:val="28"/>
      </w:rPr>
    </w:pPr>
    <w:r>
      <w:rPr>
        <w:rStyle w:val="5"/>
        <w:rFonts w:ascii="仿宋_GB2312"/>
        <w:sz w:val="28"/>
      </w:rPr>
      <w:t>-</w:t>
    </w:r>
    <w:r>
      <w:rPr>
        <w:sz w:val="28"/>
      </w:rPr>
      <w:fldChar w:fldCharType="begin"/>
    </w:r>
    <w:r>
      <w:rPr>
        <w:rStyle w:val="5"/>
        <w:sz w:val="28"/>
      </w:rPr>
      <w:instrText xml:space="preserve"> PAGE </w:instrText>
    </w:r>
    <w:r>
      <w:rPr>
        <w:sz w:val="28"/>
      </w:rPr>
      <w:fldChar w:fldCharType="separate"/>
    </w:r>
    <w:r>
      <w:rPr>
        <w:rStyle w:val="5"/>
        <w:sz w:val="28"/>
      </w:rPr>
      <w:t>1</w:t>
    </w:r>
    <w:r>
      <w:rPr>
        <w:sz w:val="28"/>
      </w:rPr>
      <w:fldChar w:fldCharType="end"/>
    </w:r>
    <w:r>
      <w:rPr>
        <w:rStyle w:val="5"/>
        <w:rFonts w:ascii="仿宋_GB2312"/>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92F4">
    <w:pPr>
      <w:pStyle w:val="2"/>
      <w:ind w:right="360"/>
      <w:rPr>
        <w:rFonts w:hint="eastAsia"/>
        <w:sz w:val="28"/>
      </w:rPr>
    </w:pPr>
    <w:r>
      <w:rPr>
        <w:rStyle w:val="5"/>
        <w:rFonts w:ascii="仿宋_GB2312"/>
        <w:sz w:val="28"/>
      </w:rPr>
      <w:t>-</w:t>
    </w:r>
    <w:r>
      <w:rPr>
        <w:sz w:val="28"/>
      </w:rPr>
      <w:fldChar w:fldCharType="begin"/>
    </w:r>
    <w:r>
      <w:rPr>
        <w:rStyle w:val="5"/>
        <w:sz w:val="28"/>
      </w:rPr>
      <w:instrText xml:space="preserve"> PAGE </w:instrText>
    </w:r>
    <w:r>
      <w:rPr>
        <w:sz w:val="28"/>
      </w:rPr>
      <w:fldChar w:fldCharType="separate"/>
    </w:r>
    <w:r>
      <w:rPr>
        <w:rStyle w:val="5"/>
        <w:sz w:val="28"/>
      </w:rPr>
      <w:t>7</w:t>
    </w:r>
    <w:r>
      <w:rPr>
        <w:sz w:val="28"/>
      </w:rPr>
      <w:fldChar w:fldCharType="end"/>
    </w:r>
    <w:r>
      <w:rPr>
        <w:rStyle w:val="5"/>
        <w:rFonts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2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character" w:styleId="5">
    <w:name w:val="page number"/>
    <w:basedOn w:val="4"/>
    <w:unhideWhenUsed/>
    <w:qFormat/>
    <w:uiPriority w:val="99"/>
  </w:style>
  <w:style w:type="paragraph" w:customStyle="1" w:styleId="6">
    <w:name w:val=" Char"/>
    <w:basedOn w:val="1"/>
    <w:qFormat/>
    <w:uiPriority w:val="0"/>
    <w:pPr>
      <w:widowControl/>
      <w:spacing w:after="160" w:afterLines="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2025-03-25T01:16:55Z</dcterms:created>
  <dc:creator>lenovo</dc:creator>
  <cp:lastModifiedBy>lenovo</cp:lastModifiedBy>
  <dcterms:modified xsi:type="dcterms:W3CDTF">2025-03-25T01:18:55Z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eyJoZGlkIjoiN2QyMzY5ZjQ1NmMzMGRiNTEyMGVjOTBhNTE4MDA0NGYiLCJ1c2VySWQiOiIzMDI1NTU3NzkifQ==</vt:lpwstr>
  </property>
  <property fmtid="{D5CDD505-2E9C-101B-9397-08002B2CF9AE}" pid="4" name="ICV">
    <vt:lpwstr>F2696DFE040745F19A79F1BA1E8CE9C8_12</vt:lpwstr>
  </property>
</Properties>
</file>