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2A92A">
      <w:pPr>
        <w:rPr>
          <w:rFonts w:hint="eastAsia" w:eastAsia="黑体"/>
          <w:sz w:val="32"/>
        </w:rPr>
      </w:pPr>
      <w:r>
        <w:rPr>
          <w:rFonts w:hint="eastAsia" w:eastAsia="黑体"/>
          <w:sz w:val="32"/>
        </w:rPr>
        <w:t>附件：</w:t>
      </w:r>
    </w:p>
    <w:p w14:paraId="561CB0D1">
      <w:pPr>
        <w:spacing w:line="540" w:lineRule="exact"/>
        <w:jc w:val="center"/>
        <w:rPr>
          <w:rFonts w:ascii="方正小标宋简体" w:hAnsi="黑体" w:eastAsia="方正小标宋简体"/>
          <w:spacing w:val="-12"/>
          <w:sz w:val="36"/>
          <w:szCs w:val="44"/>
        </w:rPr>
      </w:pPr>
      <w:r>
        <w:rPr>
          <w:rFonts w:hint="eastAsia" w:ascii="方正小标宋简体" w:hAnsi="黑体" w:eastAsia="方正小标宋简体"/>
          <w:spacing w:val="-12"/>
          <w:sz w:val="36"/>
          <w:szCs w:val="44"/>
        </w:rPr>
        <w:t>商洛市金融支持科技创新融资工作措施</w:t>
      </w:r>
    </w:p>
    <w:p w14:paraId="18F5A369">
      <w:pPr>
        <w:spacing w:line="560" w:lineRule="exact"/>
        <w:jc w:val="center"/>
        <w:rPr>
          <w:rFonts w:ascii="黑体" w:hAnsi="黑体" w:eastAsia="黑体"/>
          <w:spacing w:val="-12"/>
          <w:sz w:val="44"/>
          <w:szCs w:val="44"/>
        </w:rPr>
      </w:pPr>
    </w:p>
    <w:p w14:paraId="305CC646">
      <w:pPr>
        <w:spacing w:line="560" w:lineRule="exact"/>
        <w:ind w:firstLine="592" w:firstLineChars="200"/>
        <w:jc w:val="left"/>
        <w:rPr>
          <w:rFonts w:ascii="仿宋" w:hAnsi="仿宋" w:eastAsia="仿宋"/>
          <w:spacing w:val="-12"/>
          <w:sz w:val="32"/>
          <w:szCs w:val="32"/>
        </w:rPr>
      </w:pPr>
      <w:r>
        <w:rPr>
          <w:rFonts w:hint="eastAsia" w:ascii="仿宋" w:hAnsi="仿宋" w:eastAsia="仿宋"/>
          <w:spacing w:val="-12"/>
          <w:sz w:val="32"/>
          <w:szCs w:val="32"/>
        </w:rPr>
        <w:t>为进一步完善金融支持科技创新体系，提升金融机构科技金融服务能力，加大对科技型企业融资支持力度，推动创新链产业链资金链人才链深度融合，根据中国人民银行联合印发的《关于扎实做好科技金融大文章的工作方案》，围绕《商洛市秦创原创新驱动平台建设三年行动计划（2024—2026）》，制定商洛市金融支持科技创新融资工作措施如下。</w:t>
      </w:r>
    </w:p>
    <w:p w14:paraId="57E7CCC1">
      <w:pPr>
        <w:spacing w:line="560" w:lineRule="exact"/>
        <w:ind w:firstLine="592" w:firstLineChars="200"/>
        <w:jc w:val="left"/>
        <w:rPr>
          <w:rFonts w:ascii="黑体" w:hAnsi="黑体" w:eastAsia="黑体"/>
          <w:spacing w:val="-12"/>
          <w:sz w:val="32"/>
          <w:szCs w:val="32"/>
        </w:rPr>
      </w:pPr>
      <w:r>
        <w:rPr>
          <w:rFonts w:hint="eastAsia" w:ascii="黑体" w:hAnsi="黑体" w:eastAsia="黑体"/>
          <w:spacing w:val="-12"/>
          <w:sz w:val="32"/>
          <w:szCs w:val="32"/>
        </w:rPr>
        <w:t>一、导向性培育科技创新金融生态</w:t>
      </w:r>
    </w:p>
    <w:p w14:paraId="4E7572B3">
      <w:pPr>
        <w:spacing w:line="560" w:lineRule="exact"/>
        <w:ind w:firstLine="592" w:firstLineChars="200"/>
        <w:jc w:val="left"/>
        <w:rPr>
          <w:rFonts w:ascii="仿宋" w:hAnsi="仿宋" w:eastAsia="仿宋"/>
          <w:spacing w:val="-12"/>
          <w:sz w:val="32"/>
          <w:szCs w:val="32"/>
        </w:rPr>
      </w:pPr>
      <w:r>
        <w:rPr>
          <w:rFonts w:hint="eastAsia" w:ascii="楷体" w:hAnsi="楷体" w:eastAsia="楷体"/>
          <w:spacing w:val="-12"/>
          <w:sz w:val="32"/>
          <w:szCs w:val="32"/>
        </w:rPr>
        <w:t>（一）强化企业科技创新主体地位。</w:t>
      </w:r>
      <w:r>
        <w:rPr>
          <w:rFonts w:hint="eastAsia" w:ascii="仿宋" w:hAnsi="仿宋" w:eastAsia="仿宋"/>
          <w:spacing w:val="-12"/>
          <w:sz w:val="32"/>
          <w:szCs w:val="32"/>
        </w:rPr>
        <w:t>深入实施创新驱动发展战略，坚持企业主体、人才主力、市场主导、政府主推、金融主助，推动科技创新主体贷款增量、扩面、提质和降价，为科技型企业高质量发展提供全链条、全生命周期金融服务，为支持做强制造业营造良好的货币金融环境。</w:t>
      </w:r>
    </w:p>
    <w:p w14:paraId="18A0E552">
      <w:pPr>
        <w:spacing w:line="560" w:lineRule="exact"/>
        <w:ind w:firstLine="592" w:firstLineChars="200"/>
        <w:jc w:val="left"/>
        <w:rPr>
          <w:rFonts w:ascii="楷体" w:hAnsi="楷体" w:eastAsia="楷体"/>
          <w:spacing w:val="-12"/>
          <w:sz w:val="32"/>
          <w:szCs w:val="32"/>
        </w:rPr>
      </w:pPr>
      <w:r>
        <w:rPr>
          <w:rFonts w:hint="eastAsia" w:ascii="楷体" w:hAnsi="楷体" w:eastAsia="楷体"/>
          <w:spacing w:val="-12"/>
          <w:sz w:val="32"/>
          <w:szCs w:val="32"/>
        </w:rPr>
        <w:t>（二）落实科技金融激励引导政策。</w:t>
      </w:r>
      <w:r>
        <w:rPr>
          <w:rFonts w:hint="eastAsia" w:ascii="仿宋" w:hAnsi="仿宋" w:eastAsia="仿宋"/>
          <w:spacing w:val="-12"/>
          <w:sz w:val="32"/>
          <w:szCs w:val="32"/>
        </w:rPr>
        <w:t>辖区国有商业银行要积极申报和争取人民银行科技创新与技术改造再贷款，精准支持科技创新以及数字经济重点领域、关键环节和重点企业。地方法人银行要用足用好人民银行支农、支小再贷款和再贴现，有效扩大对科技金融领域的信贷投放，助力实施新阶段金融科技赋能乡村振兴示范工程。</w:t>
      </w:r>
    </w:p>
    <w:p w14:paraId="3C5FAD45">
      <w:pPr>
        <w:spacing w:line="560" w:lineRule="exact"/>
        <w:ind w:firstLine="592" w:firstLineChars="200"/>
        <w:jc w:val="left"/>
        <w:rPr>
          <w:rFonts w:ascii="楷体" w:hAnsi="楷体" w:eastAsia="楷体"/>
          <w:spacing w:val="-12"/>
          <w:sz w:val="32"/>
          <w:szCs w:val="32"/>
        </w:rPr>
      </w:pPr>
      <w:r>
        <w:rPr>
          <w:rFonts w:hint="eastAsia" w:ascii="楷体" w:hAnsi="楷体" w:eastAsia="楷体"/>
          <w:spacing w:val="-12"/>
          <w:sz w:val="32"/>
          <w:szCs w:val="32"/>
        </w:rPr>
        <w:t>（三）完善科技金融服务管理机制。</w:t>
      </w:r>
      <w:r>
        <w:rPr>
          <w:rFonts w:hint="eastAsia" w:ascii="仿宋" w:hAnsi="仿宋" w:eastAsia="仿宋"/>
          <w:spacing w:val="-12"/>
          <w:sz w:val="32"/>
          <w:szCs w:val="32"/>
        </w:rPr>
        <w:t>鼓励银行业金融机构设立科技支行或业务中心，适当下放授信审批、利率定价等权限，开辟科技型企业和科技项目审贷绿色通道，提高科技金融指标在内部绩效考核中的占比，建立健全相对独立的集中化科技金融业务管理机制。</w:t>
      </w:r>
    </w:p>
    <w:p w14:paraId="12BA6048">
      <w:pPr>
        <w:spacing w:line="560" w:lineRule="exact"/>
        <w:ind w:firstLine="592" w:firstLineChars="200"/>
        <w:jc w:val="left"/>
        <w:rPr>
          <w:rFonts w:ascii="仿宋" w:hAnsi="仿宋" w:eastAsia="仿宋"/>
          <w:spacing w:val="-12"/>
          <w:sz w:val="32"/>
          <w:szCs w:val="32"/>
        </w:rPr>
      </w:pPr>
      <w:r>
        <w:rPr>
          <w:rFonts w:hint="eastAsia" w:ascii="楷体" w:hAnsi="楷体" w:eastAsia="楷体"/>
          <w:spacing w:val="-12"/>
          <w:sz w:val="32"/>
          <w:szCs w:val="32"/>
        </w:rPr>
        <w:t>（四）加强科技金融服务效果评估。</w:t>
      </w:r>
      <w:r>
        <w:rPr>
          <w:rFonts w:hint="eastAsia" w:ascii="仿宋" w:hAnsi="仿宋" w:eastAsia="仿宋"/>
          <w:spacing w:val="-12"/>
          <w:sz w:val="32"/>
          <w:szCs w:val="32"/>
        </w:rPr>
        <w:t>人民银行商洛市分行在全口径分类统计科技型企业信贷、债券、股权等融资情况的同时，参照和应用《陕西省银行业金融机构科技金融服务效果评估办法》，对辖区各银行业金融机构设定量和定性指标，分优秀、良好、一般、勉励四档等次，每年开展评估，并加强评估结果综合运用。</w:t>
      </w:r>
    </w:p>
    <w:p w14:paraId="194E2539">
      <w:pPr>
        <w:spacing w:line="560" w:lineRule="exact"/>
        <w:ind w:firstLine="592" w:firstLineChars="200"/>
        <w:jc w:val="left"/>
        <w:rPr>
          <w:rFonts w:ascii="黑体" w:hAnsi="黑体" w:eastAsia="黑体"/>
          <w:spacing w:val="-12"/>
          <w:sz w:val="32"/>
          <w:szCs w:val="32"/>
        </w:rPr>
      </w:pPr>
      <w:r>
        <w:rPr>
          <w:rFonts w:hint="eastAsia" w:ascii="黑体" w:hAnsi="黑体" w:eastAsia="黑体"/>
          <w:spacing w:val="-12"/>
          <w:sz w:val="32"/>
          <w:szCs w:val="32"/>
        </w:rPr>
        <w:t>二、精准性支持科技创新重点领域</w:t>
      </w:r>
    </w:p>
    <w:p w14:paraId="44663BB7">
      <w:pPr>
        <w:spacing w:line="560" w:lineRule="exact"/>
        <w:ind w:firstLine="592" w:firstLineChars="200"/>
        <w:jc w:val="left"/>
        <w:rPr>
          <w:rFonts w:ascii="仿宋" w:hAnsi="仿宋" w:eastAsia="仿宋"/>
          <w:spacing w:val="-12"/>
          <w:sz w:val="32"/>
          <w:szCs w:val="32"/>
        </w:rPr>
      </w:pPr>
      <w:r>
        <w:rPr>
          <w:rFonts w:hint="eastAsia" w:ascii="楷体" w:hAnsi="楷体" w:eastAsia="楷体"/>
          <w:spacing w:val="-12"/>
          <w:sz w:val="32"/>
          <w:szCs w:val="32"/>
        </w:rPr>
        <w:t>（五）聚焦科技强国重大战略部署。</w:t>
      </w:r>
      <w:r>
        <w:rPr>
          <w:rFonts w:hint="eastAsia" w:ascii="仿宋" w:hAnsi="仿宋" w:eastAsia="仿宋"/>
          <w:spacing w:val="-12"/>
          <w:sz w:val="32"/>
          <w:szCs w:val="32"/>
        </w:rPr>
        <w:t>辖区政策性银行要立足职能定位和业务范围，为符合条件的基础和前沿研究、重大科技任务、科技创新平台基地建设等提供融资支持。商业银行要助推商洛全方位融入西安“双中心”（综合性国家科学中心、科技创新中心）建设，对具有较大影响力的科技创新中心建设和战略性新兴产业集群、先进制造业集群、跨区域协同创新，积极介入和参与信贷融资，助力加快发展新质生产力。</w:t>
      </w:r>
    </w:p>
    <w:p w14:paraId="4E26AB2D">
      <w:pPr>
        <w:spacing w:line="560" w:lineRule="exact"/>
        <w:ind w:firstLine="592" w:firstLineChars="200"/>
        <w:rPr>
          <w:rFonts w:ascii="楷体" w:hAnsi="楷体" w:eastAsia="楷体"/>
          <w:spacing w:val="-12"/>
          <w:sz w:val="32"/>
          <w:szCs w:val="32"/>
        </w:rPr>
      </w:pPr>
      <w:r>
        <w:rPr>
          <w:rFonts w:hint="eastAsia" w:ascii="楷体" w:hAnsi="楷体" w:eastAsia="楷体"/>
          <w:spacing w:val="-12"/>
          <w:sz w:val="32"/>
          <w:szCs w:val="32"/>
        </w:rPr>
        <w:t>（六）支持新型科技产业发展壮大。</w:t>
      </w:r>
      <w:r>
        <w:rPr>
          <w:rFonts w:hint="eastAsia" w:ascii="仿宋" w:hAnsi="仿宋" w:eastAsia="仿宋"/>
          <w:spacing w:val="-12"/>
          <w:sz w:val="32"/>
          <w:szCs w:val="32"/>
        </w:rPr>
        <w:t>辖区银行业金融机构要重点支持初创期科技型企业发展和科技人才创新创业，支持培育壮大“独角兽”企业、科技领军（潜在）企业、省级上市后备企业、瞪羚企业、高新技术企业，有效对接专精特新中小企业、科技型骨干企业及其上下游关键企业信贷需求，推动科技创新领域信贷“量速双增”，助力提升科技成果在商洛转化率。</w:t>
      </w:r>
    </w:p>
    <w:p w14:paraId="7238C1EA">
      <w:pPr>
        <w:spacing w:line="560" w:lineRule="exact"/>
        <w:ind w:firstLine="592" w:firstLineChars="200"/>
        <w:jc w:val="left"/>
        <w:rPr>
          <w:rFonts w:ascii="仿宋" w:hAnsi="仿宋" w:eastAsia="仿宋"/>
          <w:spacing w:val="-12"/>
          <w:sz w:val="32"/>
          <w:szCs w:val="32"/>
        </w:rPr>
      </w:pPr>
      <w:r>
        <w:rPr>
          <w:rFonts w:hint="eastAsia" w:ascii="楷体" w:hAnsi="楷体" w:eastAsia="楷体"/>
          <w:spacing w:val="-12"/>
          <w:sz w:val="32"/>
          <w:szCs w:val="32"/>
        </w:rPr>
        <w:t>（七）推动传统产业科技改造升级。</w:t>
      </w:r>
      <w:r>
        <w:rPr>
          <w:rFonts w:hint="eastAsia" w:ascii="仿宋" w:hAnsi="仿宋" w:eastAsia="仿宋"/>
          <w:spacing w:val="-12"/>
          <w:sz w:val="32"/>
          <w:szCs w:val="32"/>
        </w:rPr>
        <w:t>辖区银行业金融机构要大力支持新材料、绿色食品和健康医药、新能源及储能、电子信息和智能制造、康养旅游等重点产业链上下游企业以及促进技术进步和产业升级的生产性服务业发展，积极主动对接机械、有色、建材、轻工等制造业运用科技成果进行设备更新和技术改造的信贷需求，加大对科技型企业融通创新相关项目的信贷支持，加快推进产学研融通创新和科技产业创新深度融合。</w:t>
      </w:r>
    </w:p>
    <w:p w14:paraId="62AF900E">
      <w:pPr>
        <w:spacing w:line="560" w:lineRule="exact"/>
        <w:ind w:firstLine="592" w:firstLineChars="200"/>
        <w:jc w:val="left"/>
        <w:rPr>
          <w:rFonts w:ascii="黑体" w:hAnsi="黑体" w:eastAsia="黑体"/>
          <w:spacing w:val="-12"/>
          <w:sz w:val="32"/>
          <w:szCs w:val="32"/>
        </w:rPr>
      </w:pPr>
      <w:r>
        <w:rPr>
          <w:rFonts w:hint="eastAsia" w:ascii="黑体" w:hAnsi="黑体" w:eastAsia="黑体"/>
          <w:spacing w:val="-12"/>
          <w:sz w:val="32"/>
          <w:szCs w:val="32"/>
        </w:rPr>
        <w:t>三、适配性运用科技创新信贷产品</w:t>
      </w:r>
    </w:p>
    <w:p w14:paraId="4FE40D0B">
      <w:pPr>
        <w:spacing w:line="560" w:lineRule="exact"/>
        <w:ind w:firstLine="592" w:firstLineChars="200"/>
        <w:jc w:val="left"/>
        <w:rPr>
          <w:rFonts w:ascii="楷体" w:hAnsi="楷体" w:eastAsia="楷体"/>
          <w:spacing w:val="-12"/>
          <w:sz w:val="32"/>
          <w:szCs w:val="32"/>
        </w:rPr>
      </w:pPr>
      <w:r>
        <w:rPr>
          <w:rFonts w:hint="eastAsia" w:ascii="楷体" w:hAnsi="楷体" w:eastAsia="楷体"/>
          <w:spacing w:val="-12"/>
          <w:sz w:val="32"/>
          <w:szCs w:val="32"/>
        </w:rPr>
        <w:t>（八）提高科技企业信用贷款比重。</w:t>
      </w:r>
      <w:r>
        <w:rPr>
          <w:rFonts w:hint="eastAsia" w:ascii="仿宋" w:hAnsi="仿宋" w:eastAsia="仿宋"/>
          <w:spacing w:val="-12"/>
          <w:sz w:val="32"/>
          <w:szCs w:val="32"/>
        </w:rPr>
        <w:t>引导辖区银行业金融机构扩大“创新积分制”评价范围，拓展“企业创新积分贷”业务，探索“贷款+外部投资”业务模式，并加强专精特新高质量发展评价指标及结果应用，显著提高科技企业信用贷款比重与同比增速。</w:t>
      </w:r>
    </w:p>
    <w:p w14:paraId="4AEFC2A3">
      <w:pPr>
        <w:spacing w:line="560" w:lineRule="exact"/>
        <w:ind w:firstLine="592" w:firstLineChars="200"/>
        <w:jc w:val="left"/>
        <w:rPr>
          <w:rFonts w:ascii="楷体" w:hAnsi="楷体" w:eastAsia="楷体"/>
          <w:spacing w:val="-12"/>
          <w:sz w:val="32"/>
          <w:szCs w:val="32"/>
        </w:rPr>
      </w:pPr>
      <w:r>
        <w:rPr>
          <w:rFonts w:hint="eastAsia" w:ascii="楷体" w:hAnsi="楷体" w:eastAsia="楷体"/>
          <w:spacing w:val="-12"/>
          <w:sz w:val="32"/>
          <w:szCs w:val="32"/>
        </w:rPr>
        <w:t>（九）扩大知识产权质押贷款规模。</w:t>
      </w:r>
      <w:r>
        <w:rPr>
          <w:rFonts w:hint="eastAsia" w:ascii="仿宋" w:hAnsi="仿宋" w:eastAsia="仿宋"/>
          <w:spacing w:val="-12"/>
          <w:sz w:val="32"/>
          <w:szCs w:val="32"/>
        </w:rPr>
        <w:t>辖区银行业金融机构要</w:t>
      </w:r>
      <w:r>
        <w:rPr>
          <w:rFonts w:hint="eastAsia" w:ascii="仿宋" w:hAnsi="仿宋" w:eastAsia="仿宋"/>
          <w:spacing w:val="-16"/>
          <w:sz w:val="32"/>
          <w:szCs w:val="32"/>
        </w:rPr>
        <w:t>着力实施专策对接融资需求、专列信贷支持计划、专属信贷产品应用、专项激励引导保障等“四专”措施，大力拓展和办理科技型企业知识产权质押贷款业务，务求年内均有突破、形成投放规模。</w:t>
      </w:r>
    </w:p>
    <w:p w14:paraId="38FC1853">
      <w:pPr>
        <w:spacing w:line="560" w:lineRule="exact"/>
        <w:ind w:firstLine="592" w:firstLineChars="200"/>
        <w:jc w:val="left"/>
        <w:rPr>
          <w:rFonts w:ascii="楷体" w:hAnsi="楷体" w:eastAsia="楷体"/>
          <w:spacing w:val="-12"/>
          <w:sz w:val="32"/>
          <w:szCs w:val="32"/>
        </w:rPr>
      </w:pPr>
      <w:r>
        <w:rPr>
          <w:rFonts w:hint="eastAsia" w:ascii="楷体" w:hAnsi="楷体" w:eastAsia="楷体"/>
          <w:spacing w:val="-12"/>
          <w:sz w:val="32"/>
          <w:szCs w:val="32"/>
        </w:rPr>
        <w:t>（十）开发专属信贷保险金融产品。</w:t>
      </w:r>
      <w:r>
        <w:rPr>
          <w:rFonts w:hint="eastAsia" w:ascii="仿宋" w:hAnsi="仿宋" w:eastAsia="仿宋"/>
          <w:spacing w:val="-12"/>
          <w:sz w:val="32"/>
          <w:szCs w:val="32"/>
        </w:rPr>
        <w:t>引导辖区银行业金融机构加大对企业数字化转型及研发、中试、产业化支持力度，开发专属信贷、保险等金融产品，规范发展“科技人才贷”，优化专精特新中小企业服务，满足科技型企业信贷融资需求。</w:t>
      </w:r>
    </w:p>
    <w:p w14:paraId="5DA6846C">
      <w:pPr>
        <w:spacing w:line="560" w:lineRule="exact"/>
        <w:ind w:firstLine="592" w:firstLineChars="200"/>
        <w:jc w:val="left"/>
        <w:rPr>
          <w:rFonts w:ascii="仿宋" w:hAnsi="仿宋" w:eastAsia="仿宋"/>
          <w:spacing w:val="-12"/>
          <w:sz w:val="32"/>
          <w:szCs w:val="32"/>
        </w:rPr>
      </w:pPr>
      <w:r>
        <w:rPr>
          <w:rFonts w:hint="eastAsia" w:ascii="楷体" w:hAnsi="楷体" w:eastAsia="楷体"/>
          <w:spacing w:val="-12"/>
          <w:sz w:val="32"/>
          <w:szCs w:val="32"/>
        </w:rPr>
        <w:t>（十一）压降科技创新领域贷款利率。</w:t>
      </w:r>
      <w:r>
        <w:rPr>
          <w:rFonts w:hint="eastAsia" w:ascii="仿宋" w:hAnsi="仿宋" w:eastAsia="仿宋"/>
          <w:spacing w:val="-12"/>
          <w:sz w:val="32"/>
          <w:szCs w:val="32"/>
        </w:rPr>
        <w:t>辖区银行业金融机构要在依法合规、风险可控的前提下，注重发挥利率调控作用，采取更加灵活的利率定价和利息偿付方式，平衡贷款收益与风险，合理确定新发放科技型企业贷款利率，且保持低于全市一般贷款和企业贷款加权平均利率。</w:t>
      </w:r>
    </w:p>
    <w:p w14:paraId="50A00E79">
      <w:pPr>
        <w:spacing w:line="560" w:lineRule="exact"/>
        <w:ind w:firstLine="592" w:firstLineChars="200"/>
        <w:jc w:val="left"/>
        <w:rPr>
          <w:rFonts w:ascii="仿宋" w:hAnsi="仿宋" w:eastAsia="仿宋"/>
          <w:spacing w:val="-12"/>
          <w:sz w:val="32"/>
          <w:szCs w:val="32"/>
        </w:rPr>
      </w:pPr>
      <w:r>
        <w:rPr>
          <w:rFonts w:hint="eastAsia" w:ascii="楷体" w:hAnsi="楷体" w:eastAsia="楷体"/>
          <w:spacing w:val="-12"/>
          <w:sz w:val="32"/>
          <w:szCs w:val="32"/>
        </w:rPr>
        <w:t>（十二）加快构建“股债贷保”融资体系。</w:t>
      </w:r>
      <w:r>
        <w:rPr>
          <w:rFonts w:hint="eastAsia" w:ascii="仿宋" w:hAnsi="仿宋" w:eastAsia="仿宋"/>
          <w:spacing w:val="-12"/>
          <w:sz w:val="32"/>
          <w:szCs w:val="32"/>
        </w:rPr>
        <w:t>辖区银行业金融机构要配合做好科技型企业发债项目储备、融资辅导与信贷跟进，支持符合条件的科技型企业发行科创票据、科技创新公司债券。尤其国有商业银行要发挥平台资源优势，在依法合规、风险隔离可控前提下，强化与内外部投资、证券、融资担保、保险等机构合作，用好跨境融资便利化政策，为科技型企业提供“股债贷保”多元化融资和接力式金融服务。</w:t>
      </w:r>
    </w:p>
    <w:p w14:paraId="7739C6FD">
      <w:pPr>
        <w:spacing w:line="560" w:lineRule="exact"/>
        <w:ind w:firstLine="592" w:firstLineChars="200"/>
        <w:jc w:val="left"/>
        <w:rPr>
          <w:rFonts w:ascii="黑体" w:hAnsi="黑体" w:eastAsia="黑体"/>
          <w:spacing w:val="-12"/>
          <w:sz w:val="32"/>
          <w:szCs w:val="32"/>
        </w:rPr>
      </w:pPr>
      <w:r>
        <w:rPr>
          <w:rFonts w:hint="eastAsia" w:ascii="黑体" w:hAnsi="黑体" w:eastAsia="黑体"/>
          <w:spacing w:val="-12"/>
          <w:sz w:val="32"/>
          <w:szCs w:val="32"/>
        </w:rPr>
        <w:t>四、协同性加强科技创新要素保障</w:t>
      </w:r>
    </w:p>
    <w:p w14:paraId="4B7DCEE6">
      <w:pPr>
        <w:spacing w:line="560" w:lineRule="exact"/>
        <w:ind w:firstLine="592" w:firstLineChars="200"/>
        <w:jc w:val="left"/>
        <w:rPr>
          <w:rFonts w:ascii="楷体" w:hAnsi="楷体" w:eastAsia="楷体"/>
          <w:spacing w:val="-12"/>
          <w:sz w:val="32"/>
          <w:szCs w:val="32"/>
        </w:rPr>
      </w:pPr>
      <w:r>
        <w:rPr>
          <w:rFonts w:hint="eastAsia" w:ascii="楷体" w:hAnsi="楷体" w:eastAsia="楷体"/>
          <w:spacing w:val="-12"/>
          <w:sz w:val="32"/>
          <w:szCs w:val="32"/>
        </w:rPr>
        <w:t>（十三）加强科技金融工作统筹协调。</w:t>
      </w:r>
      <w:r>
        <w:rPr>
          <w:rFonts w:hint="eastAsia" w:ascii="仿宋" w:hAnsi="仿宋" w:eastAsia="仿宋"/>
          <w:spacing w:val="-12"/>
          <w:sz w:val="32"/>
          <w:szCs w:val="32"/>
        </w:rPr>
        <w:t>自上而下建立商洛市金融支持科技创新工作联动机制，由人民银行商洛市分行和市科技局“双牵头”，邀请市发改委、市工信局、市市场监管局、金监局商洛分局参加，加强科技金融工作沟通协调、共享交流、会商通报、督导推动等。市（县）科技主管部门可争取适当资金，对科技型企业贷款投放机构实施“央行再贷款+财政贴息”等政策措施，予以激励引导。辖区各银行业金融机构具体落实各项政策措施，有效对接科技创新领域信贷融资需求。</w:t>
      </w:r>
    </w:p>
    <w:p w14:paraId="590A81D5">
      <w:pPr>
        <w:spacing w:line="560" w:lineRule="exact"/>
        <w:ind w:firstLine="592" w:firstLineChars="200"/>
        <w:jc w:val="left"/>
        <w:rPr>
          <w:rFonts w:ascii="楷体" w:hAnsi="楷体" w:eastAsia="楷体"/>
          <w:spacing w:val="-12"/>
          <w:sz w:val="32"/>
          <w:szCs w:val="32"/>
        </w:rPr>
      </w:pPr>
      <w:r>
        <w:rPr>
          <w:rFonts w:hint="eastAsia" w:ascii="楷体" w:hAnsi="楷体" w:eastAsia="楷体"/>
          <w:spacing w:val="-12"/>
          <w:sz w:val="32"/>
          <w:szCs w:val="32"/>
        </w:rPr>
        <w:t>（十四）加强科技创新融资平台功能。</w:t>
      </w:r>
      <w:r>
        <w:rPr>
          <w:rFonts w:hint="eastAsia" w:ascii="仿宋" w:hAnsi="仿宋" w:eastAsia="仿宋"/>
          <w:spacing w:val="-12"/>
          <w:sz w:val="32"/>
          <w:szCs w:val="32"/>
        </w:rPr>
        <w:t>立足我市秦创原创新驱动平台建设目标任务，市科技局牵头遴选优质科技型企业，建立科技型企业“白名单”，并形成创新链产业链企业融资需求清单，由人民银行商洛市分行推送至各银行业金融机构，适时联合开展银企双向对接活动。综合发挥全国信用信息服务平台、“秦信融”平台以及商洛市“四贷促进”金融服务站、“四优同步”金融专项行动等功能与作用，汇编《商洛市金融五篇大文章信贷服务与产品手册》，助力深化金融支持科技创新融资工作。</w:t>
      </w:r>
    </w:p>
    <w:p w14:paraId="38297835">
      <w:pPr>
        <w:spacing w:line="560" w:lineRule="exact"/>
        <w:ind w:firstLine="592" w:firstLineChars="200"/>
        <w:jc w:val="left"/>
        <w:rPr>
          <w:rFonts w:ascii="楷体" w:hAnsi="楷体" w:eastAsia="楷体"/>
          <w:spacing w:val="-12"/>
          <w:sz w:val="32"/>
          <w:szCs w:val="32"/>
        </w:rPr>
      </w:pPr>
      <w:r>
        <w:rPr>
          <w:rFonts w:hint="eastAsia" w:ascii="楷体" w:hAnsi="楷体" w:eastAsia="楷体"/>
          <w:spacing w:val="-12"/>
          <w:sz w:val="32"/>
          <w:szCs w:val="32"/>
        </w:rPr>
        <w:t>（十五）加强科技企业融资分险化险。</w:t>
      </w:r>
      <w:r>
        <w:rPr>
          <w:rFonts w:hint="eastAsia" w:ascii="仿宋" w:hAnsi="仿宋" w:eastAsia="仿宋"/>
          <w:spacing w:val="-12"/>
          <w:sz w:val="32"/>
          <w:szCs w:val="32"/>
        </w:rPr>
        <w:t>联合推动扩大对科技型中小微企业贷款的融资担保规模和覆盖面，强化政府增信功能，确保企业贷款担保代偿补偿及时到位。辖区银行业金融机构、融资担保机构依法合规审贷放贷、提供担保和再担保，严格落实银担分险责任。人民银行商洛市分行和金监局商洛分局密切监测科技金融风险情况，合力加强风险评估、预警与处置。</w:t>
      </w:r>
    </w:p>
    <w:p w14:paraId="4C4730A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E10C37-DC5F-4911-8918-A607C1661CD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D99733C-F768-4539-9C25-395A994E1167}"/>
  </w:font>
  <w:font w:name="方正小标宋简体">
    <w:panose1 w:val="02000000000000000000"/>
    <w:charset w:val="86"/>
    <w:family w:val="script"/>
    <w:pitch w:val="default"/>
    <w:sig w:usb0="00000001" w:usb1="08000000" w:usb2="00000000" w:usb3="00000000" w:csb0="00040000" w:csb1="00000000"/>
    <w:embedRegular r:id="rId3" w:fontKey="{C5C206D4-4D71-4E6F-9918-64FF139A20AE}"/>
  </w:font>
  <w:font w:name="仿宋">
    <w:panose1 w:val="02010609060101010101"/>
    <w:charset w:val="86"/>
    <w:family w:val="modern"/>
    <w:pitch w:val="default"/>
    <w:sig w:usb0="800002BF" w:usb1="38CF7CFA" w:usb2="00000016" w:usb3="00000000" w:csb0="00040001" w:csb1="00000000"/>
    <w:embedRegular r:id="rId4" w:fontKey="{A1DE6214-7969-4470-AB32-47FF196132B8}"/>
  </w:font>
  <w:font w:name="楷体">
    <w:panose1 w:val="02010609060101010101"/>
    <w:charset w:val="86"/>
    <w:family w:val="modern"/>
    <w:pitch w:val="default"/>
    <w:sig w:usb0="800002BF" w:usb1="38CF7CFA" w:usb2="00000016" w:usb3="00000000" w:csb0="00040001" w:csb1="00000000"/>
    <w:embedRegular r:id="rId5" w:fontKey="{28C7CA92-75AA-46CD-8036-F60FAEC6279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DA1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2025-03-25T02:09:54Z</dcterms:created>
  <dc:creator>lenovo</dc:creator>
  <cp:lastModifiedBy>lenovo</cp:lastModifiedBy>
  <dcterms:modified xsi:type="dcterms:W3CDTF">2025-03-25T02:10:15Z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eyJoZGlkIjoiN2QyMzY5ZjQ1NmMzMGRiNTEyMGVjOTBhNTE4MDA0NGYiLCJ1c2VySWQiOiIzMDI1NTU3NzkifQ==</vt:lpwstr>
  </property>
  <property fmtid="{D5CDD505-2E9C-101B-9397-08002B2CF9AE}" pid="4" name="ICV">
    <vt:lpwstr>9F1526C8338B4D98AC3405A2D91EEED0_12</vt:lpwstr>
  </property>
</Properties>
</file>